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6D6C9" w14:textId="77777777" w:rsidR="00091794" w:rsidRPr="00166A9C" w:rsidRDefault="00774D86" w:rsidP="00091794">
      <w:pPr>
        <w:pStyle w:val="Heading1"/>
        <w:spacing w:line="200" w:lineRule="exact"/>
        <w:jc w:val="center"/>
        <w:rPr>
          <w:bCs/>
          <w:szCs w:val="22"/>
        </w:rPr>
      </w:pPr>
      <w:r>
        <w:rPr>
          <w:bCs/>
          <w:szCs w:val="22"/>
        </w:rPr>
        <w:t>APPLICATION</w:t>
      </w:r>
      <w:r w:rsidR="00091794" w:rsidRPr="00166A9C">
        <w:rPr>
          <w:bCs/>
          <w:szCs w:val="22"/>
        </w:rPr>
        <w:t xml:space="preserve"> FOR </w:t>
      </w:r>
      <w:r w:rsidR="00091794">
        <w:rPr>
          <w:bCs/>
          <w:szCs w:val="22"/>
        </w:rPr>
        <w:t>SERVICE-LEARNING</w:t>
      </w:r>
      <w:r w:rsidR="00091794" w:rsidRPr="00166A9C">
        <w:rPr>
          <w:bCs/>
          <w:szCs w:val="22"/>
        </w:rPr>
        <w:t xml:space="preserve"> COURSE </w:t>
      </w:r>
      <w:r>
        <w:rPr>
          <w:bCs/>
          <w:szCs w:val="22"/>
        </w:rPr>
        <w:t>DESIGNATION</w:t>
      </w:r>
    </w:p>
    <w:p w14:paraId="532ABA9B" w14:textId="77777777" w:rsidR="00091794" w:rsidRPr="0095274D" w:rsidRDefault="00611E9A" w:rsidP="00091794">
      <w:pPr>
        <w:spacing w:line="200" w:lineRule="exact"/>
        <w:jc w:val="center"/>
        <w:rPr>
          <w:b/>
          <w:sz w:val="22"/>
          <w:szCs w:val="22"/>
        </w:rPr>
      </w:pPr>
      <w:r w:rsidRPr="0095274D">
        <w:rPr>
          <w:b/>
          <w:sz w:val="22"/>
          <w:szCs w:val="22"/>
        </w:rPr>
        <w:t>Service-Learning</w:t>
      </w:r>
      <w:r w:rsidR="00091794" w:rsidRPr="0095274D">
        <w:rPr>
          <w:b/>
          <w:sz w:val="22"/>
          <w:szCs w:val="22"/>
        </w:rPr>
        <w:t xml:space="preserve"> (</w:t>
      </w:r>
      <w:r w:rsidRPr="0095274D">
        <w:rPr>
          <w:b/>
          <w:sz w:val="22"/>
          <w:szCs w:val="22"/>
        </w:rPr>
        <w:t>S</w:t>
      </w:r>
      <w:r w:rsidR="00091794" w:rsidRPr="0095274D">
        <w:rPr>
          <w:b/>
          <w:sz w:val="22"/>
          <w:szCs w:val="22"/>
        </w:rPr>
        <w:t>)</w:t>
      </w:r>
    </w:p>
    <w:p w14:paraId="011A580A" w14:textId="77777777" w:rsidR="00C73FD4" w:rsidRDefault="00C73FD4" w:rsidP="00091794">
      <w:pPr>
        <w:rPr>
          <w:sz w:val="22"/>
          <w:szCs w:val="22"/>
        </w:rPr>
      </w:pPr>
    </w:p>
    <w:p w14:paraId="6AB02CE8" w14:textId="77777777" w:rsidR="00091794" w:rsidRPr="00830C6F" w:rsidRDefault="00091794" w:rsidP="00091794">
      <w:pPr>
        <w:rPr>
          <w:sz w:val="22"/>
          <w:szCs w:val="22"/>
        </w:rPr>
      </w:pPr>
      <w:r w:rsidRPr="00830C6F">
        <w:rPr>
          <w:sz w:val="22"/>
          <w:szCs w:val="22"/>
        </w:rPr>
        <w:t>Department:</w:t>
      </w:r>
    </w:p>
    <w:p w14:paraId="03B79FBF" w14:textId="77777777" w:rsidR="00091794" w:rsidRPr="00830C6F" w:rsidRDefault="00091794" w:rsidP="00091794">
      <w:pPr>
        <w:rPr>
          <w:sz w:val="22"/>
          <w:szCs w:val="22"/>
        </w:rPr>
      </w:pPr>
      <w:r w:rsidRPr="00830C6F">
        <w:rPr>
          <w:sz w:val="22"/>
          <w:szCs w:val="22"/>
        </w:rPr>
        <w:t>Course Number and Title:</w:t>
      </w:r>
    </w:p>
    <w:p w14:paraId="36780AB3" w14:textId="77777777" w:rsidR="00091794" w:rsidRPr="00830C6F" w:rsidRDefault="00091794" w:rsidP="00091794">
      <w:pPr>
        <w:rPr>
          <w:sz w:val="22"/>
          <w:szCs w:val="22"/>
        </w:rPr>
      </w:pPr>
      <w:r w:rsidRPr="00830C6F">
        <w:rPr>
          <w:sz w:val="22"/>
          <w:szCs w:val="22"/>
        </w:rPr>
        <w:t>Credit Hours:</w:t>
      </w:r>
    </w:p>
    <w:p w14:paraId="363F443A" w14:textId="77777777" w:rsidR="00091794" w:rsidRPr="00830C6F" w:rsidRDefault="00091794" w:rsidP="00091794">
      <w:pPr>
        <w:rPr>
          <w:sz w:val="22"/>
          <w:szCs w:val="22"/>
        </w:rPr>
      </w:pPr>
      <w:r w:rsidRPr="00830C6F">
        <w:rPr>
          <w:sz w:val="22"/>
          <w:szCs w:val="22"/>
        </w:rPr>
        <w:t xml:space="preserve">Course Description: </w:t>
      </w:r>
    </w:p>
    <w:p w14:paraId="34293EB0" w14:textId="77777777" w:rsidR="00091794" w:rsidRPr="00830C6F" w:rsidRDefault="00091794" w:rsidP="00091794">
      <w:pPr>
        <w:rPr>
          <w:sz w:val="22"/>
          <w:szCs w:val="22"/>
        </w:rPr>
      </w:pPr>
      <w:r w:rsidRPr="00830C6F">
        <w:rPr>
          <w:sz w:val="22"/>
          <w:szCs w:val="22"/>
        </w:rPr>
        <w:t xml:space="preserve">Prerequisites: </w:t>
      </w:r>
    </w:p>
    <w:p w14:paraId="2D56A2B5" w14:textId="77777777" w:rsidR="00091794" w:rsidRPr="00830C6F" w:rsidRDefault="00091794" w:rsidP="00091794">
      <w:pPr>
        <w:rPr>
          <w:sz w:val="22"/>
          <w:szCs w:val="22"/>
        </w:rPr>
      </w:pPr>
      <w:r w:rsidRPr="00830C6F">
        <w:rPr>
          <w:sz w:val="22"/>
          <w:szCs w:val="22"/>
        </w:rPr>
        <w:t xml:space="preserve">Credit Restrictions </w:t>
      </w:r>
      <w:r w:rsidRPr="00830C6F">
        <w:rPr>
          <w:i/>
          <w:sz w:val="22"/>
          <w:szCs w:val="22"/>
        </w:rPr>
        <w:t>(if any):</w:t>
      </w:r>
    </w:p>
    <w:p w14:paraId="6FACB924" w14:textId="77777777" w:rsidR="00091794" w:rsidRPr="00830C6F" w:rsidRDefault="00091794" w:rsidP="00091794">
      <w:pPr>
        <w:rPr>
          <w:sz w:val="22"/>
          <w:szCs w:val="22"/>
        </w:rPr>
      </w:pPr>
      <w:r w:rsidRPr="00830C6F">
        <w:rPr>
          <w:sz w:val="22"/>
          <w:szCs w:val="22"/>
        </w:rPr>
        <w:t>Frequency of Course Offering:</w:t>
      </w:r>
    </w:p>
    <w:p w14:paraId="50478D8B" w14:textId="77777777" w:rsidR="00091794" w:rsidRPr="00830C6F" w:rsidRDefault="00091794" w:rsidP="00091794">
      <w:pPr>
        <w:rPr>
          <w:sz w:val="22"/>
          <w:szCs w:val="22"/>
        </w:rPr>
      </w:pPr>
      <w:r w:rsidRPr="00830C6F">
        <w:rPr>
          <w:sz w:val="22"/>
          <w:szCs w:val="22"/>
        </w:rPr>
        <w:t>Course Capacity per Semester:</w:t>
      </w:r>
      <w:r>
        <w:rPr>
          <w:sz w:val="22"/>
          <w:szCs w:val="22"/>
        </w:rPr>
        <w:t xml:space="preserve"> </w:t>
      </w:r>
      <w:r w:rsidRPr="00830C6F">
        <w:rPr>
          <w:i/>
          <w:sz w:val="22"/>
          <w:szCs w:val="22"/>
        </w:rPr>
        <w:t>(per course &amp; total if multiple sections)</w:t>
      </w:r>
    </w:p>
    <w:p w14:paraId="640DE3E3" w14:textId="77777777" w:rsidR="00091794" w:rsidRPr="00830C6F" w:rsidRDefault="00091794" w:rsidP="00091794">
      <w:pPr>
        <w:rPr>
          <w:sz w:val="22"/>
          <w:szCs w:val="22"/>
        </w:rPr>
      </w:pPr>
      <w:r w:rsidRPr="00830C6F">
        <w:rPr>
          <w:sz w:val="22"/>
          <w:szCs w:val="22"/>
        </w:rPr>
        <w:t>Contact Name, Phone, Email:</w:t>
      </w:r>
    </w:p>
    <w:p w14:paraId="03EC65DE" w14:textId="77777777" w:rsidR="00091794" w:rsidRPr="00830C6F" w:rsidRDefault="00091794" w:rsidP="00091794">
      <w:pPr>
        <w:rPr>
          <w:b/>
          <w:sz w:val="22"/>
          <w:szCs w:val="22"/>
        </w:rPr>
      </w:pPr>
    </w:p>
    <w:p w14:paraId="34C07D74" w14:textId="77777777" w:rsidR="0095274D" w:rsidRDefault="00091794" w:rsidP="00091794">
      <w:pPr>
        <w:rPr>
          <w:sz w:val="22"/>
          <w:szCs w:val="22"/>
        </w:rPr>
      </w:pPr>
      <w:r>
        <w:rPr>
          <w:b/>
          <w:sz w:val="22"/>
          <w:szCs w:val="22"/>
        </w:rPr>
        <w:t>Service-Learning</w:t>
      </w:r>
      <w:r w:rsidRPr="00830C6F">
        <w:rPr>
          <w:b/>
          <w:sz w:val="22"/>
          <w:szCs w:val="22"/>
        </w:rPr>
        <w:t xml:space="preserve"> (</w:t>
      </w:r>
      <w:r>
        <w:rPr>
          <w:b/>
          <w:sz w:val="22"/>
          <w:szCs w:val="22"/>
        </w:rPr>
        <w:t>S</w:t>
      </w:r>
      <w:r w:rsidRPr="00830C6F">
        <w:rPr>
          <w:b/>
          <w:sz w:val="22"/>
          <w:szCs w:val="22"/>
        </w:rPr>
        <w:t xml:space="preserve">) </w:t>
      </w:r>
      <w:r w:rsidR="00A64C06">
        <w:rPr>
          <w:b/>
          <w:sz w:val="22"/>
          <w:szCs w:val="22"/>
        </w:rPr>
        <w:t>Standards</w:t>
      </w:r>
      <w:r w:rsidRPr="00830C6F">
        <w:rPr>
          <w:b/>
          <w:sz w:val="22"/>
          <w:szCs w:val="22"/>
        </w:rPr>
        <w:t>:</w:t>
      </w:r>
      <w:r w:rsidRPr="00830C6F">
        <w:rPr>
          <w:sz w:val="22"/>
          <w:szCs w:val="22"/>
        </w:rPr>
        <w:t xml:space="preserve"> </w:t>
      </w:r>
    </w:p>
    <w:p w14:paraId="3B3B8FCA" w14:textId="77777777" w:rsidR="0095274D" w:rsidRDefault="0095274D" w:rsidP="00091794">
      <w:pPr>
        <w:rPr>
          <w:sz w:val="22"/>
          <w:szCs w:val="22"/>
        </w:rPr>
      </w:pPr>
    </w:p>
    <w:p w14:paraId="1F0CA66E" w14:textId="57999D7C" w:rsidR="00091794" w:rsidRDefault="00091794" w:rsidP="00091794">
      <w:pPr>
        <w:rPr>
          <w:sz w:val="22"/>
          <w:szCs w:val="22"/>
        </w:rPr>
      </w:pPr>
      <w:r w:rsidRPr="00091794">
        <w:rPr>
          <w:sz w:val="22"/>
          <w:szCs w:val="22"/>
        </w:rPr>
        <w:t>Service-learning is a course-based experiential learning strategy that engages students in meaningful and relevant service with a community partner while employing ongoing reflection to draw connections between the service and course content</w:t>
      </w:r>
      <w:r>
        <w:rPr>
          <w:sz w:val="22"/>
          <w:szCs w:val="22"/>
        </w:rPr>
        <w:t xml:space="preserve">. When implemented according to </w:t>
      </w:r>
      <w:r w:rsidR="00A64C06">
        <w:rPr>
          <w:sz w:val="22"/>
          <w:szCs w:val="22"/>
        </w:rPr>
        <w:t>the below standards of best practice</w:t>
      </w:r>
      <w:r>
        <w:rPr>
          <w:sz w:val="22"/>
          <w:szCs w:val="22"/>
        </w:rPr>
        <w:t>, service-learning</w:t>
      </w:r>
      <w:r w:rsidRPr="00091794">
        <w:rPr>
          <w:sz w:val="22"/>
          <w:szCs w:val="22"/>
        </w:rPr>
        <w:t xml:space="preserve"> </w:t>
      </w:r>
      <w:r>
        <w:rPr>
          <w:sz w:val="22"/>
          <w:szCs w:val="22"/>
        </w:rPr>
        <w:t xml:space="preserve">can </w:t>
      </w:r>
      <w:r w:rsidRPr="00091794">
        <w:rPr>
          <w:sz w:val="22"/>
          <w:szCs w:val="22"/>
        </w:rPr>
        <w:t>enhanc</w:t>
      </w:r>
      <w:r>
        <w:rPr>
          <w:sz w:val="22"/>
          <w:szCs w:val="22"/>
        </w:rPr>
        <w:t>e</w:t>
      </w:r>
      <w:r w:rsidRPr="00091794">
        <w:rPr>
          <w:sz w:val="22"/>
          <w:szCs w:val="22"/>
        </w:rPr>
        <w:t xml:space="preserve"> academic learning, promot</w:t>
      </w:r>
      <w:r>
        <w:rPr>
          <w:sz w:val="22"/>
          <w:szCs w:val="22"/>
        </w:rPr>
        <w:t>e</w:t>
      </w:r>
      <w:r w:rsidRPr="00091794">
        <w:rPr>
          <w:sz w:val="22"/>
          <w:szCs w:val="22"/>
        </w:rPr>
        <w:t xml:space="preserve"> civic responsiveness, and strengthen communities.</w:t>
      </w:r>
    </w:p>
    <w:p w14:paraId="443241ED" w14:textId="77777777" w:rsidR="00A64C06" w:rsidRDefault="00A64C06" w:rsidP="00091794">
      <w:pPr>
        <w:rPr>
          <w:sz w:val="22"/>
          <w:szCs w:val="22"/>
        </w:rPr>
      </w:pPr>
    </w:p>
    <w:p w14:paraId="5717F88A" w14:textId="63F65571" w:rsidR="00A64C06" w:rsidRDefault="00A64C06" w:rsidP="00091794">
      <w:pPr>
        <w:rPr>
          <w:sz w:val="22"/>
          <w:szCs w:val="22"/>
        </w:rPr>
      </w:pPr>
      <w:r>
        <w:rPr>
          <w:sz w:val="22"/>
          <w:szCs w:val="22"/>
        </w:rPr>
        <w:t xml:space="preserve">The “S” designation is intended to identify courses in which service-learning is implemented in accordance with the </w:t>
      </w:r>
      <w:r w:rsidR="00774D86">
        <w:rPr>
          <w:sz w:val="22"/>
          <w:szCs w:val="22"/>
        </w:rPr>
        <w:t>following</w:t>
      </w:r>
      <w:r>
        <w:rPr>
          <w:sz w:val="22"/>
          <w:szCs w:val="22"/>
        </w:rPr>
        <w:t xml:space="preserve"> </w:t>
      </w:r>
      <w:r w:rsidR="007A06CA">
        <w:rPr>
          <w:sz w:val="22"/>
          <w:szCs w:val="22"/>
        </w:rPr>
        <w:t xml:space="preserve">four </w:t>
      </w:r>
      <w:r>
        <w:rPr>
          <w:sz w:val="22"/>
          <w:szCs w:val="22"/>
        </w:rPr>
        <w:t>standards</w:t>
      </w:r>
      <w:r w:rsidR="00774D86">
        <w:rPr>
          <w:sz w:val="22"/>
          <w:szCs w:val="22"/>
        </w:rPr>
        <w:t>:</w:t>
      </w:r>
      <w:r w:rsidR="004365EA">
        <w:rPr>
          <w:sz w:val="22"/>
          <w:szCs w:val="22"/>
        </w:rPr>
        <w:t xml:space="preserve"> </w:t>
      </w:r>
    </w:p>
    <w:p w14:paraId="4DA69EFF" w14:textId="77777777" w:rsidR="00A64C06" w:rsidRPr="00830C6F" w:rsidRDefault="00A64C06" w:rsidP="00091794">
      <w:pPr>
        <w:rPr>
          <w:sz w:val="22"/>
          <w:szCs w:val="22"/>
        </w:rPr>
      </w:pPr>
    </w:p>
    <w:p w14:paraId="0C2E86D0" w14:textId="32664047" w:rsidR="00715D84" w:rsidRPr="00B54AE7" w:rsidRDefault="00D3304F" w:rsidP="000E3D97">
      <w:pPr>
        <w:numPr>
          <w:ilvl w:val="0"/>
          <w:numId w:val="3"/>
        </w:numPr>
        <w:rPr>
          <w:rFonts w:ascii="Times New Roman" w:hAnsi="Times New Roman"/>
          <w:sz w:val="20"/>
        </w:rPr>
      </w:pPr>
      <w:r w:rsidRPr="00B54AE7">
        <w:rPr>
          <w:rFonts w:ascii="Times New Roman" w:hAnsi="Times New Roman"/>
          <w:iCs/>
          <w:sz w:val="20"/>
        </w:rPr>
        <w:t xml:space="preserve">The </w:t>
      </w:r>
      <w:r w:rsidR="00C73FD4" w:rsidRPr="00B54AE7">
        <w:rPr>
          <w:rFonts w:ascii="Times New Roman" w:hAnsi="Times New Roman"/>
          <w:iCs/>
          <w:sz w:val="20"/>
        </w:rPr>
        <w:t xml:space="preserve">course </w:t>
      </w:r>
      <w:r w:rsidR="00CB2BD1" w:rsidRPr="00B54AE7">
        <w:rPr>
          <w:rFonts w:ascii="Times New Roman" w:hAnsi="Times New Roman"/>
          <w:iCs/>
          <w:sz w:val="20"/>
        </w:rPr>
        <w:t>include</w:t>
      </w:r>
      <w:r w:rsidR="00774D86" w:rsidRPr="00B54AE7">
        <w:rPr>
          <w:rFonts w:ascii="Times New Roman" w:hAnsi="Times New Roman"/>
          <w:iCs/>
          <w:sz w:val="20"/>
        </w:rPr>
        <w:t>s</w:t>
      </w:r>
      <w:r w:rsidRPr="00B54AE7">
        <w:rPr>
          <w:rFonts w:ascii="Times New Roman" w:hAnsi="Times New Roman"/>
          <w:iCs/>
          <w:sz w:val="20"/>
        </w:rPr>
        <w:t xml:space="preserve"> </w:t>
      </w:r>
      <w:r w:rsidR="00B65B45" w:rsidRPr="00B54AE7">
        <w:rPr>
          <w:rFonts w:ascii="Times New Roman" w:hAnsi="Times New Roman"/>
          <w:iCs/>
          <w:sz w:val="20"/>
        </w:rPr>
        <w:t xml:space="preserve">clear and specific student learning outcomes, </w:t>
      </w:r>
      <w:r w:rsidR="00715D84" w:rsidRPr="00B54AE7">
        <w:rPr>
          <w:rFonts w:ascii="Times New Roman" w:hAnsi="Times New Roman"/>
          <w:iCs/>
          <w:sz w:val="20"/>
        </w:rPr>
        <w:t xml:space="preserve">which reflect what students should be able to demonstrate, know, or do by the end of the course. </w:t>
      </w:r>
      <w:r w:rsidR="00283C2B" w:rsidRPr="00B54AE7">
        <w:rPr>
          <w:rFonts w:ascii="Times New Roman" w:hAnsi="Times New Roman"/>
          <w:iCs/>
          <w:sz w:val="20"/>
        </w:rPr>
        <w:t>S</w:t>
      </w:r>
      <w:r w:rsidR="00715D84" w:rsidRPr="00B54AE7">
        <w:rPr>
          <w:rFonts w:ascii="Times New Roman" w:hAnsi="Times New Roman"/>
          <w:iCs/>
          <w:sz w:val="20"/>
        </w:rPr>
        <w:t xml:space="preserve">tudent learning </w:t>
      </w:r>
      <w:r w:rsidR="00B65B45" w:rsidRPr="00B54AE7">
        <w:rPr>
          <w:rFonts w:ascii="Times New Roman" w:hAnsi="Times New Roman"/>
          <w:iCs/>
          <w:sz w:val="20"/>
        </w:rPr>
        <w:t>outcome</w:t>
      </w:r>
      <w:r w:rsidR="00283C2B" w:rsidRPr="00B54AE7">
        <w:rPr>
          <w:rFonts w:ascii="Times New Roman" w:hAnsi="Times New Roman"/>
          <w:iCs/>
          <w:sz w:val="20"/>
        </w:rPr>
        <w:t>s</w:t>
      </w:r>
      <w:r w:rsidR="00B65B45" w:rsidRPr="00B54AE7">
        <w:rPr>
          <w:rFonts w:ascii="Times New Roman" w:hAnsi="Times New Roman"/>
          <w:iCs/>
          <w:sz w:val="20"/>
        </w:rPr>
        <w:t xml:space="preserve"> </w:t>
      </w:r>
      <w:r w:rsidR="00715D84" w:rsidRPr="00B54AE7">
        <w:rPr>
          <w:rFonts w:ascii="Times New Roman" w:hAnsi="Times New Roman"/>
          <w:iCs/>
          <w:sz w:val="20"/>
        </w:rPr>
        <w:t xml:space="preserve">should </w:t>
      </w:r>
      <w:r w:rsidR="00B65B45" w:rsidRPr="00B54AE7">
        <w:rPr>
          <w:rFonts w:ascii="Times New Roman" w:hAnsi="Times New Roman"/>
          <w:iCs/>
          <w:sz w:val="20"/>
        </w:rPr>
        <w:t xml:space="preserve">reflect </w:t>
      </w:r>
      <w:r w:rsidR="000E3D97" w:rsidRPr="00B54AE7">
        <w:rPr>
          <w:rFonts w:ascii="Times New Roman" w:hAnsi="Times New Roman"/>
          <w:iCs/>
          <w:sz w:val="20"/>
        </w:rPr>
        <w:t xml:space="preserve">the presence of service in the course, </w:t>
      </w:r>
      <w:r w:rsidR="00CB2BD1" w:rsidRPr="00B54AE7">
        <w:rPr>
          <w:rFonts w:ascii="Times New Roman" w:hAnsi="Times New Roman"/>
          <w:iCs/>
          <w:sz w:val="20"/>
        </w:rPr>
        <w:t xml:space="preserve">and </w:t>
      </w:r>
      <w:r w:rsidR="000E3D97" w:rsidRPr="00B54AE7">
        <w:rPr>
          <w:rFonts w:ascii="Times New Roman" w:hAnsi="Times New Roman"/>
          <w:iCs/>
          <w:sz w:val="20"/>
        </w:rPr>
        <w:t>the service should enhance the academic learning.</w:t>
      </w:r>
      <w:r w:rsidR="00B54AE7">
        <w:rPr>
          <w:rStyle w:val="FootnoteReference"/>
          <w:rFonts w:ascii="Times New Roman" w:hAnsi="Times New Roman"/>
          <w:iCs/>
          <w:sz w:val="20"/>
        </w:rPr>
        <w:t xml:space="preserve">1 </w:t>
      </w:r>
    </w:p>
    <w:p w14:paraId="6FF69BCC" w14:textId="6287D0DC" w:rsidR="00B619BB" w:rsidRPr="00B54AE7" w:rsidRDefault="00434AE6" w:rsidP="00434AE6">
      <w:pPr>
        <w:numPr>
          <w:ilvl w:val="0"/>
          <w:numId w:val="3"/>
        </w:numPr>
        <w:rPr>
          <w:rFonts w:ascii="Times New Roman" w:hAnsi="Times New Roman"/>
          <w:sz w:val="20"/>
        </w:rPr>
      </w:pPr>
      <w:r w:rsidRPr="00B54AE7">
        <w:rPr>
          <w:rFonts w:ascii="Times New Roman" w:hAnsi="Times New Roman"/>
          <w:iCs/>
          <w:sz w:val="20"/>
        </w:rPr>
        <w:t>One or more of the student learning outcomes addresses civic learning.</w:t>
      </w:r>
      <w:r w:rsidR="00B54AE7">
        <w:rPr>
          <w:rFonts w:ascii="Times New Roman" w:hAnsi="Times New Roman"/>
          <w:iCs/>
          <w:sz w:val="20"/>
          <w:vertAlign w:val="superscript"/>
        </w:rPr>
        <w:t>2</w:t>
      </w:r>
    </w:p>
    <w:p w14:paraId="62C3D0D3" w14:textId="23BDDD47" w:rsidR="00091794" w:rsidRPr="00B54AE7" w:rsidRDefault="00D3304F" w:rsidP="005C3D89">
      <w:pPr>
        <w:numPr>
          <w:ilvl w:val="0"/>
          <w:numId w:val="3"/>
        </w:numPr>
        <w:rPr>
          <w:rFonts w:ascii="Times New Roman" w:hAnsi="Times New Roman"/>
          <w:sz w:val="20"/>
        </w:rPr>
      </w:pPr>
      <w:r w:rsidRPr="00B54AE7">
        <w:rPr>
          <w:rFonts w:ascii="Times New Roman" w:hAnsi="Times New Roman"/>
          <w:iCs/>
          <w:sz w:val="20"/>
        </w:rPr>
        <w:t xml:space="preserve">The </w:t>
      </w:r>
      <w:r w:rsidR="00CB2BD1" w:rsidRPr="00B54AE7">
        <w:rPr>
          <w:rFonts w:ascii="Times New Roman" w:hAnsi="Times New Roman"/>
          <w:iCs/>
          <w:sz w:val="20"/>
        </w:rPr>
        <w:t>course include</w:t>
      </w:r>
      <w:r w:rsidR="00774D86" w:rsidRPr="00B54AE7">
        <w:rPr>
          <w:rFonts w:ascii="Times New Roman" w:hAnsi="Times New Roman"/>
          <w:iCs/>
          <w:sz w:val="20"/>
        </w:rPr>
        <w:t>s</w:t>
      </w:r>
      <w:r w:rsidR="00CB2BD1" w:rsidRPr="00B54AE7">
        <w:rPr>
          <w:rFonts w:ascii="Times New Roman" w:hAnsi="Times New Roman"/>
          <w:iCs/>
          <w:sz w:val="20"/>
        </w:rPr>
        <w:t xml:space="preserve"> a </w:t>
      </w:r>
      <w:r w:rsidR="000E3D97" w:rsidRPr="00B54AE7">
        <w:rPr>
          <w:rFonts w:ascii="Times New Roman" w:hAnsi="Times New Roman"/>
          <w:iCs/>
          <w:sz w:val="20"/>
        </w:rPr>
        <w:t xml:space="preserve">service project </w:t>
      </w:r>
      <w:r w:rsidR="00CB2BD1" w:rsidRPr="00B54AE7">
        <w:rPr>
          <w:rFonts w:ascii="Times New Roman" w:hAnsi="Times New Roman"/>
          <w:iCs/>
          <w:sz w:val="20"/>
        </w:rPr>
        <w:t>tha</w:t>
      </w:r>
      <w:r w:rsidR="00B54AE7" w:rsidRPr="00B54AE7">
        <w:rPr>
          <w:rFonts w:ascii="Times New Roman" w:hAnsi="Times New Roman"/>
          <w:iCs/>
          <w:sz w:val="20"/>
        </w:rPr>
        <w:t>t</w:t>
      </w:r>
      <w:r w:rsidR="00CB2BD1" w:rsidRPr="00B54AE7">
        <w:rPr>
          <w:rFonts w:ascii="Times New Roman" w:hAnsi="Times New Roman"/>
          <w:iCs/>
          <w:sz w:val="20"/>
        </w:rPr>
        <w:t xml:space="preserve"> </w:t>
      </w:r>
      <w:r w:rsidR="005C3D89" w:rsidRPr="00B54AE7">
        <w:rPr>
          <w:rFonts w:ascii="Times New Roman" w:hAnsi="Times New Roman"/>
          <w:iCs/>
          <w:sz w:val="20"/>
        </w:rPr>
        <w:t>reflects mutual benefit between community</w:t>
      </w:r>
      <w:r w:rsidR="00B54AE7">
        <w:rPr>
          <w:rFonts w:ascii="Times New Roman" w:hAnsi="Times New Roman"/>
          <w:iCs/>
          <w:sz w:val="20"/>
          <w:vertAlign w:val="superscript"/>
        </w:rPr>
        <w:t>3</w:t>
      </w:r>
      <w:r w:rsidR="00B54AE7">
        <w:rPr>
          <w:rFonts w:ascii="Times New Roman" w:hAnsi="Times New Roman"/>
          <w:iCs/>
          <w:sz w:val="20"/>
        </w:rPr>
        <w:t xml:space="preserve"> </w:t>
      </w:r>
      <w:r w:rsidR="005C3D89" w:rsidRPr="00B54AE7">
        <w:rPr>
          <w:rFonts w:ascii="Times New Roman" w:hAnsi="Times New Roman"/>
          <w:iCs/>
          <w:sz w:val="20"/>
        </w:rPr>
        <w:t>and university partners such that it is meaningful to the community partner and relevant to the course.</w:t>
      </w:r>
      <w:r w:rsidR="0095274D">
        <w:rPr>
          <w:rStyle w:val="FootnoteReference"/>
          <w:rFonts w:ascii="Times New Roman" w:hAnsi="Times New Roman"/>
          <w:iCs/>
          <w:sz w:val="20"/>
        </w:rPr>
        <w:t xml:space="preserve">4 </w:t>
      </w:r>
      <w:r w:rsidR="005C3D89" w:rsidRPr="00B54AE7">
        <w:rPr>
          <w:rFonts w:ascii="Times New Roman" w:hAnsi="Times New Roman"/>
          <w:iCs/>
          <w:sz w:val="20"/>
        </w:rPr>
        <w:t xml:space="preserve">The service project includes </w:t>
      </w:r>
      <w:r w:rsidR="00CD19C2" w:rsidRPr="00B54AE7">
        <w:rPr>
          <w:rFonts w:ascii="Times New Roman" w:hAnsi="Times New Roman"/>
          <w:iCs/>
          <w:sz w:val="20"/>
        </w:rPr>
        <w:t>significant</w:t>
      </w:r>
      <w:r w:rsidR="00A91E7C" w:rsidRPr="00B54AE7">
        <w:rPr>
          <w:rFonts w:ascii="Times New Roman" w:hAnsi="Times New Roman"/>
          <w:iCs/>
          <w:sz w:val="20"/>
        </w:rPr>
        <w:t xml:space="preserve"> student-community interaction</w:t>
      </w:r>
      <w:r w:rsidR="005C3D89" w:rsidRPr="00B54AE7">
        <w:rPr>
          <w:rFonts w:ascii="Times New Roman" w:hAnsi="Times New Roman"/>
          <w:iCs/>
          <w:sz w:val="20"/>
        </w:rPr>
        <w:t xml:space="preserve">. The roles and expectations of all involved are clarified in the service project design. </w:t>
      </w:r>
    </w:p>
    <w:p w14:paraId="0D2F2844" w14:textId="7F54FCE4" w:rsidR="003910C5" w:rsidRPr="00B54AE7" w:rsidRDefault="00A64C06" w:rsidP="0057282B">
      <w:pPr>
        <w:numPr>
          <w:ilvl w:val="0"/>
          <w:numId w:val="3"/>
        </w:numPr>
        <w:rPr>
          <w:rFonts w:ascii="Times New Roman" w:hAnsi="Times New Roman"/>
          <w:sz w:val="20"/>
        </w:rPr>
      </w:pPr>
      <w:r w:rsidRPr="00B54AE7">
        <w:rPr>
          <w:rFonts w:ascii="Times New Roman" w:hAnsi="Times New Roman"/>
          <w:iCs/>
          <w:sz w:val="20"/>
        </w:rPr>
        <w:t xml:space="preserve">The course </w:t>
      </w:r>
      <w:r w:rsidR="00CB2BD1" w:rsidRPr="00B54AE7">
        <w:rPr>
          <w:rFonts w:ascii="Times New Roman" w:hAnsi="Times New Roman"/>
          <w:iCs/>
          <w:sz w:val="20"/>
        </w:rPr>
        <w:t>include</w:t>
      </w:r>
      <w:r w:rsidR="00774D86" w:rsidRPr="00B54AE7">
        <w:rPr>
          <w:rFonts w:ascii="Times New Roman" w:hAnsi="Times New Roman"/>
          <w:iCs/>
          <w:sz w:val="20"/>
        </w:rPr>
        <w:t>s</w:t>
      </w:r>
      <w:r w:rsidR="00CB2BD1" w:rsidRPr="00B54AE7">
        <w:rPr>
          <w:rFonts w:ascii="Times New Roman" w:hAnsi="Times New Roman"/>
          <w:iCs/>
          <w:sz w:val="20"/>
        </w:rPr>
        <w:t xml:space="preserve"> </w:t>
      </w:r>
      <w:r w:rsidRPr="00B54AE7">
        <w:rPr>
          <w:rFonts w:ascii="Times New Roman" w:hAnsi="Times New Roman"/>
          <w:iCs/>
          <w:sz w:val="20"/>
        </w:rPr>
        <w:t xml:space="preserve">structured reflection upon the service project by the students in light of </w:t>
      </w:r>
      <w:r w:rsidR="00CB2BD1" w:rsidRPr="00B54AE7">
        <w:rPr>
          <w:rFonts w:ascii="Times New Roman" w:hAnsi="Times New Roman"/>
          <w:iCs/>
          <w:sz w:val="20"/>
        </w:rPr>
        <w:t>course learning</w:t>
      </w:r>
      <w:r w:rsidR="00967ECB" w:rsidRPr="00B54AE7">
        <w:rPr>
          <w:rFonts w:ascii="Times New Roman" w:hAnsi="Times New Roman"/>
          <w:iCs/>
          <w:sz w:val="20"/>
        </w:rPr>
        <w:t xml:space="preserve">. </w:t>
      </w:r>
      <w:r w:rsidR="00CB2BD1" w:rsidRPr="00B54AE7">
        <w:rPr>
          <w:rFonts w:ascii="Times New Roman" w:hAnsi="Times New Roman"/>
          <w:iCs/>
          <w:sz w:val="20"/>
        </w:rPr>
        <w:t>R</w:t>
      </w:r>
      <w:r w:rsidR="00967ECB" w:rsidRPr="00B54AE7">
        <w:rPr>
          <w:rFonts w:ascii="Times New Roman" w:hAnsi="Times New Roman"/>
          <w:iCs/>
          <w:sz w:val="20"/>
        </w:rPr>
        <w:t xml:space="preserve">eflection </w:t>
      </w:r>
      <w:r w:rsidR="00CB2BD1" w:rsidRPr="00B54AE7">
        <w:rPr>
          <w:rFonts w:ascii="Times New Roman" w:hAnsi="Times New Roman"/>
          <w:iCs/>
          <w:sz w:val="20"/>
        </w:rPr>
        <w:t>should be</w:t>
      </w:r>
      <w:r w:rsidR="00967ECB" w:rsidRPr="00B54AE7">
        <w:rPr>
          <w:rFonts w:ascii="Times New Roman" w:hAnsi="Times New Roman"/>
          <w:iCs/>
          <w:sz w:val="20"/>
        </w:rPr>
        <w:t xml:space="preserve"> continuous throughout the course, connected to </w:t>
      </w:r>
      <w:r w:rsidR="00CB2BD1" w:rsidRPr="00B54AE7">
        <w:rPr>
          <w:rFonts w:ascii="Times New Roman" w:hAnsi="Times New Roman"/>
          <w:iCs/>
          <w:sz w:val="20"/>
        </w:rPr>
        <w:t xml:space="preserve">the </w:t>
      </w:r>
      <w:r w:rsidR="00967ECB" w:rsidRPr="00B54AE7">
        <w:rPr>
          <w:rFonts w:ascii="Times New Roman" w:hAnsi="Times New Roman"/>
          <w:iCs/>
          <w:sz w:val="20"/>
        </w:rPr>
        <w:t>student learning outcomes, and challenging to the students</w:t>
      </w:r>
      <w:r w:rsidR="0057282B" w:rsidRPr="00B54AE7">
        <w:rPr>
          <w:rFonts w:ascii="Times New Roman" w:hAnsi="Times New Roman"/>
          <w:iCs/>
          <w:sz w:val="20"/>
        </w:rPr>
        <w:t>—requiring higher-order thinking skills.</w:t>
      </w:r>
      <w:r w:rsidR="0095274D">
        <w:rPr>
          <w:rFonts w:ascii="Times New Roman" w:hAnsi="Times New Roman"/>
          <w:iCs/>
          <w:sz w:val="20"/>
          <w:vertAlign w:val="superscript"/>
        </w:rPr>
        <w:t>5</w:t>
      </w:r>
    </w:p>
    <w:p w14:paraId="0822095F" w14:textId="77777777" w:rsidR="00B54AE7" w:rsidRDefault="00B54AE7" w:rsidP="00774D86">
      <w:pPr>
        <w:rPr>
          <w:b/>
          <w:sz w:val="22"/>
          <w:szCs w:val="22"/>
        </w:rPr>
      </w:pPr>
    </w:p>
    <w:p w14:paraId="59A89F72" w14:textId="0D899779" w:rsidR="00774D86" w:rsidRDefault="00774D86" w:rsidP="00774D86">
      <w:pPr>
        <w:rPr>
          <w:b/>
          <w:sz w:val="22"/>
          <w:szCs w:val="22"/>
        </w:rPr>
      </w:pPr>
      <w:r>
        <w:rPr>
          <w:b/>
          <w:sz w:val="22"/>
          <w:szCs w:val="22"/>
        </w:rPr>
        <w:t>Application Questions:</w:t>
      </w:r>
    </w:p>
    <w:p w14:paraId="34F9AC09" w14:textId="77777777" w:rsidR="00774D86" w:rsidRDefault="00774D86" w:rsidP="00774D86">
      <w:pPr>
        <w:rPr>
          <w:sz w:val="22"/>
          <w:szCs w:val="22"/>
        </w:rPr>
      </w:pPr>
    </w:p>
    <w:p w14:paraId="6949A404" w14:textId="7CB57135" w:rsidR="00774D86" w:rsidRPr="0095274D" w:rsidRDefault="00774D86" w:rsidP="0095274D">
      <w:pPr>
        <w:numPr>
          <w:ilvl w:val="0"/>
          <w:numId w:val="15"/>
        </w:numPr>
        <w:rPr>
          <w:sz w:val="22"/>
          <w:szCs w:val="22"/>
        </w:rPr>
      </w:pPr>
      <w:r w:rsidRPr="0095274D">
        <w:rPr>
          <w:sz w:val="22"/>
          <w:szCs w:val="22"/>
        </w:rPr>
        <w:t xml:space="preserve">Please list below the student learning outcomes from your course. The outcomes should be clear and specific, and should reflect what students should be able to demonstrate, know, or do by the end of the course. Student learning outcomes should reflect the presence of service in the course, and the service should enhance the academic learning. At least one of the student learning outcomes should address civic learning. See Standards #1 and #2 above and corresponding footnotes for more detailed information and examples. </w:t>
      </w:r>
    </w:p>
    <w:p w14:paraId="492629FC" w14:textId="77777777" w:rsidR="00774D86" w:rsidRPr="0095274D" w:rsidRDefault="00774D86" w:rsidP="00774D86">
      <w:pPr>
        <w:ind w:left="360"/>
        <w:rPr>
          <w:sz w:val="22"/>
          <w:szCs w:val="22"/>
        </w:rPr>
      </w:pPr>
    </w:p>
    <w:p w14:paraId="31612924" w14:textId="5DF9B990" w:rsidR="00774D86" w:rsidRDefault="00774D86" w:rsidP="0095274D">
      <w:pPr>
        <w:numPr>
          <w:ilvl w:val="0"/>
          <w:numId w:val="15"/>
        </w:numPr>
        <w:rPr>
          <w:sz w:val="22"/>
          <w:szCs w:val="22"/>
        </w:rPr>
      </w:pPr>
      <w:r w:rsidRPr="0095274D">
        <w:rPr>
          <w:sz w:val="22"/>
          <w:szCs w:val="22"/>
        </w:rPr>
        <w:t xml:space="preserve">Please describe how the service project </w:t>
      </w:r>
      <w:r w:rsidR="005C3D89" w:rsidRPr="0095274D">
        <w:rPr>
          <w:sz w:val="22"/>
          <w:szCs w:val="22"/>
        </w:rPr>
        <w:t>reflects</w:t>
      </w:r>
      <w:r w:rsidRPr="0095274D">
        <w:rPr>
          <w:sz w:val="22"/>
          <w:szCs w:val="22"/>
        </w:rPr>
        <w:t xml:space="preserve"> mutual benefit </w:t>
      </w:r>
      <w:r w:rsidR="005C3D89" w:rsidRPr="0095274D">
        <w:rPr>
          <w:sz w:val="22"/>
          <w:szCs w:val="22"/>
        </w:rPr>
        <w:t xml:space="preserve">such that it is meaningful to the community partner and relevant to the course. </w:t>
      </w:r>
      <w:r w:rsidR="00934357" w:rsidRPr="0095274D">
        <w:rPr>
          <w:sz w:val="22"/>
          <w:szCs w:val="22"/>
        </w:rPr>
        <w:t xml:space="preserve">Describe how the roles and </w:t>
      </w:r>
      <w:r w:rsidR="00E21780" w:rsidRPr="0095274D">
        <w:rPr>
          <w:sz w:val="22"/>
          <w:szCs w:val="22"/>
        </w:rPr>
        <w:t>responsibilitie</w:t>
      </w:r>
      <w:r w:rsidR="00934357" w:rsidRPr="0095274D">
        <w:rPr>
          <w:sz w:val="22"/>
          <w:szCs w:val="22"/>
        </w:rPr>
        <w:t>s of those involved will be clarified. I</w:t>
      </w:r>
      <w:r w:rsidRPr="0095274D">
        <w:rPr>
          <w:sz w:val="22"/>
          <w:szCs w:val="22"/>
        </w:rPr>
        <w:t xml:space="preserve">f students will be charged with identifying service projects with a community partner </w:t>
      </w:r>
      <w:r w:rsidR="0057282B" w:rsidRPr="0095274D">
        <w:rPr>
          <w:sz w:val="22"/>
          <w:szCs w:val="22"/>
        </w:rPr>
        <w:t>themselves</w:t>
      </w:r>
      <w:r w:rsidR="00E21780" w:rsidRPr="0095274D">
        <w:rPr>
          <w:sz w:val="22"/>
          <w:szCs w:val="22"/>
        </w:rPr>
        <w:t>,</w:t>
      </w:r>
      <w:r w:rsidRPr="0095274D">
        <w:rPr>
          <w:sz w:val="22"/>
          <w:szCs w:val="22"/>
        </w:rPr>
        <w:t xml:space="preserve"> indicate how the instructor will guide and oversee </w:t>
      </w:r>
      <w:r w:rsidR="0057282B" w:rsidRPr="0095274D">
        <w:rPr>
          <w:sz w:val="22"/>
          <w:szCs w:val="22"/>
        </w:rPr>
        <w:t xml:space="preserve">students during </w:t>
      </w:r>
      <w:r w:rsidRPr="0095274D">
        <w:rPr>
          <w:sz w:val="22"/>
          <w:szCs w:val="22"/>
        </w:rPr>
        <w:t xml:space="preserve">this process. See Standard #3 above and </w:t>
      </w:r>
      <w:r w:rsidR="0095274D" w:rsidRPr="0095274D">
        <w:rPr>
          <w:sz w:val="22"/>
          <w:szCs w:val="22"/>
        </w:rPr>
        <w:t xml:space="preserve">the </w:t>
      </w:r>
      <w:r w:rsidRPr="0095274D">
        <w:rPr>
          <w:sz w:val="22"/>
          <w:szCs w:val="22"/>
        </w:rPr>
        <w:t>corresponding footnote for more deta</w:t>
      </w:r>
      <w:r w:rsidR="0057282B" w:rsidRPr="0095274D">
        <w:rPr>
          <w:sz w:val="22"/>
          <w:szCs w:val="22"/>
        </w:rPr>
        <w:t>iled information and examples.</w:t>
      </w:r>
    </w:p>
    <w:p w14:paraId="41CC129D" w14:textId="77777777" w:rsidR="0095274D" w:rsidRDefault="0095274D" w:rsidP="0095274D">
      <w:pPr>
        <w:pStyle w:val="ListParagraph"/>
        <w:rPr>
          <w:sz w:val="22"/>
          <w:szCs w:val="22"/>
        </w:rPr>
      </w:pPr>
    </w:p>
    <w:p w14:paraId="5050AB65" w14:textId="77777777" w:rsidR="0095274D" w:rsidRPr="0095274D" w:rsidRDefault="0095274D" w:rsidP="0095274D">
      <w:pPr>
        <w:rPr>
          <w:sz w:val="22"/>
          <w:szCs w:val="22"/>
        </w:rPr>
      </w:pPr>
    </w:p>
    <w:p w14:paraId="777405F1" w14:textId="3D23D375" w:rsidR="00774D86" w:rsidRPr="0095274D" w:rsidRDefault="00774D86" w:rsidP="0095274D">
      <w:pPr>
        <w:numPr>
          <w:ilvl w:val="0"/>
          <w:numId w:val="15"/>
        </w:numPr>
        <w:rPr>
          <w:sz w:val="22"/>
          <w:szCs w:val="22"/>
        </w:rPr>
      </w:pPr>
      <w:r w:rsidRPr="0095274D">
        <w:rPr>
          <w:sz w:val="22"/>
          <w:szCs w:val="22"/>
        </w:rPr>
        <w:t xml:space="preserve">Please describe how reflection will be structured within the course to prompt students to consider the service project in light of course learning. Reflection should be continuous throughout the course, </w:t>
      </w:r>
      <w:r w:rsidRPr="0095274D">
        <w:rPr>
          <w:sz w:val="22"/>
          <w:szCs w:val="22"/>
        </w:rPr>
        <w:lastRenderedPageBreak/>
        <w:t>connected to student learning outcomes, and challenging—demanding high</w:t>
      </w:r>
      <w:r w:rsidR="0057282B" w:rsidRPr="0095274D">
        <w:rPr>
          <w:sz w:val="22"/>
          <w:szCs w:val="22"/>
        </w:rPr>
        <w:t>er-order thinking skills</w:t>
      </w:r>
      <w:r w:rsidRPr="0095274D">
        <w:rPr>
          <w:sz w:val="22"/>
          <w:szCs w:val="22"/>
        </w:rPr>
        <w:t xml:space="preserve">. See Standard #4 above and </w:t>
      </w:r>
      <w:r w:rsidR="0095274D" w:rsidRPr="0095274D">
        <w:rPr>
          <w:sz w:val="22"/>
          <w:szCs w:val="22"/>
        </w:rPr>
        <w:t xml:space="preserve">the </w:t>
      </w:r>
      <w:r w:rsidRPr="0095274D">
        <w:rPr>
          <w:sz w:val="22"/>
          <w:szCs w:val="22"/>
        </w:rPr>
        <w:t xml:space="preserve">corresponding footnote for more detailed information and examples.  </w:t>
      </w:r>
    </w:p>
    <w:p w14:paraId="3914F3C6" w14:textId="77777777" w:rsidR="00774D86" w:rsidRPr="0095274D" w:rsidRDefault="00774D86" w:rsidP="00774D86">
      <w:pPr>
        <w:pStyle w:val="ListParagraph"/>
        <w:rPr>
          <w:sz w:val="22"/>
          <w:szCs w:val="22"/>
        </w:rPr>
      </w:pPr>
    </w:p>
    <w:p w14:paraId="73D8CB44" w14:textId="77777777" w:rsidR="00774D86" w:rsidRPr="0095274D" w:rsidRDefault="00774D86" w:rsidP="0095274D">
      <w:pPr>
        <w:numPr>
          <w:ilvl w:val="0"/>
          <w:numId w:val="15"/>
        </w:numPr>
        <w:rPr>
          <w:sz w:val="22"/>
          <w:szCs w:val="22"/>
        </w:rPr>
      </w:pPr>
      <w:r w:rsidRPr="0095274D">
        <w:rPr>
          <w:sz w:val="22"/>
          <w:szCs w:val="22"/>
        </w:rPr>
        <w:t xml:space="preserve">If the designated course will be taught by multiple instructors, please describe the program, department, and/or college’s plan for ensuring that the “S” designation standards are maintained when the course changes hands. </w:t>
      </w:r>
    </w:p>
    <w:p w14:paraId="5EFAF5D3" w14:textId="77777777" w:rsidR="00D11744" w:rsidRPr="0095274D" w:rsidRDefault="00D11744" w:rsidP="00D11744">
      <w:pPr>
        <w:rPr>
          <w:sz w:val="22"/>
          <w:szCs w:val="22"/>
        </w:rPr>
      </w:pPr>
    </w:p>
    <w:p w14:paraId="5CB57EE3" w14:textId="77777777" w:rsidR="00A91E7C" w:rsidRPr="0095274D" w:rsidRDefault="001A4EC6" w:rsidP="0095274D">
      <w:pPr>
        <w:pStyle w:val="ListParagraph"/>
        <w:numPr>
          <w:ilvl w:val="0"/>
          <w:numId w:val="15"/>
        </w:numPr>
        <w:rPr>
          <w:sz w:val="22"/>
          <w:szCs w:val="22"/>
        </w:rPr>
      </w:pPr>
      <w:r w:rsidRPr="0095274D">
        <w:rPr>
          <w:sz w:val="22"/>
          <w:szCs w:val="22"/>
        </w:rPr>
        <w:t xml:space="preserve">Please attach a representative course syllabus (including course description, prerequisites, clear indication that the course is a Service-Learning course, and course objectives that include academic and civic learning outcomes that will be enhanced by the service). </w:t>
      </w:r>
    </w:p>
    <w:p w14:paraId="39D19F22" w14:textId="77777777" w:rsidR="00513720" w:rsidRPr="0095274D" w:rsidRDefault="00513720" w:rsidP="00513720">
      <w:pPr>
        <w:pStyle w:val="ListParagraph"/>
        <w:rPr>
          <w:sz w:val="22"/>
          <w:szCs w:val="22"/>
        </w:rPr>
      </w:pPr>
    </w:p>
    <w:p w14:paraId="64F399A9" w14:textId="00E5AB5F" w:rsidR="00A91E7C" w:rsidRPr="0095274D" w:rsidRDefault="00513720" w:rsidP="0095274D">
      <w:pPr>
        <w:pStyle w:val="ListParagraph"/>
        <w:numPr>
          <w:ilvl w:val="0"/>
          <w:numId w:val="15"/>
        </w:numPr>
        <w:rPr>
          <w:sz w:val="22"/>
          <w:szCs w:val="22"/>
        </w:rPr>
      </w:pPr>
      <w:r w:rsidRPr="0095274D">
        <w:rPr>
          <w:sz w:val="22"/>
          <w:szCs w:val="22"/>
        </w:rPr>
        <w:t xml:space="preserve">The S Subcommittee encourages faculty applying for the S designation to conduct a self-scoring exercise using the rubric attached on page </w:t>
      </w:r>
      <w:r w:rsidR="0095274D" w:rsidRPr="0095274D">
        <w:rPr>
          <w:sz w:val="22"/>
          <w:szCs w:val="22"/>
        </w:rPr>
        <w:t>4</w:t>
      </w:r>
      <w:r w:rsidRPr="0095274D">
        <w:rPr>
          <w:sz w:val="22"/>
          <w:szCs w:val="22"/>
        </w:rPr>
        <w:t xml:space="preserve"> of this document. The self-scored document does </w:t>
      </w:r>
      <w:r w:rsidRPr="0095274D">
        <w:rPr>
          <w:sz w:val="22"/>
          <w:szCs w:val="22"/>
          <w:u w:val="single"/>
        </w:rPr>
        <w:t>not</w:t>
      </w:r>
      <w:r w:rsidRPr="0095274D">
        <w:rPr>
          <w:sz w:val="22"/>
          <w:szCs w:val="22"/>
        </w:rPr>
        <w:t xml:space="preserve"> need to be included with the application, rather has been provided to allow applicants the opportunity to evaluate their own proposals prior to submission. </w:t>
      </w:r>
    </w:p>
    <w:p w14:paraId="05EBFBE2" w14:textId="77777777" w:rsidR="0095274D" w:rsidRPr="0095274D" w:rsidRDefault="0095274D" w:rsidP="0095274D">
      <w:pPr>
        <w:rPr>
          <w:b/>
          <w:sz w:val="22"/>
          <w:szCs w:val="22"/>
        </w:rPr>
      </w:pPr>
    </w:p>
    <w:p w14:paraId="48D97815" w14:textId="77777777" w:rsidR="0095274D" w:rsidRDefault="00AB5915" w:rsidP="00AB5915">
      <w:pPr>
        <w:rPr>
          <w:sz w:val="22"/>
          <w:szCs w:val="22"/>
        </w:rPr>
      </w:pPr>
      <w:r w:rsidRPr="00AB5915">
        <w:rPr>
          <w:b/>
          <w:sz w:val="22"/>
          <w:szCs w:val="22"/>
        </w:rPr>
        <w:t>Submission Instructions:</w:t>
      </w:r>
      <w:r>
        <w:rPr>
          <w:sz w:val="22"/>
          <w:szCs w:val="22"/>
        </w:rPr>
        <w:t xml:space="preserve"> </w:t>
      </w:r>
    </w:p>
    <w:p w14:paraId="1B2AA539" w14:textId="77777777" w:rsidR="0095274D" w:rsidRDefault="0095274D" w:rsidP="00AB5915">
      <w:pPr>
        <w:rPr>
          <w:sz w:val="22"/>
          <w:szCs w:val="22"/>
        </w:rPr>
      </w:pPr>
    </w:p>
    <w:p w14:paraId="44244F2C" w14:textId="77777777" w:rsidR="0095274D" w:rsidRDefault="00AB5915" w:rsidP="00AB5915">
      <w:pPr>
        <w:rPr>
          <w:sz w:val="22"/>
          <w:szCs w:val="22"/>
        </w:rPr>
      </w:pPr>
      <w:r w:rsidRPr="00AB5915">
        <w:rPr>
          <w:sz w:val="22"/>
          <w:szCs w:val="22"/>
        </w:rPr>
        <w:t xml:space="preserve">Colleges seeking approval for courses to receive S-designation must follow the curricular submission guidelines for new courses. </w:t>
      </w:r>
      <w:r w:rsidR="00774D86">
        <w:rPr>
          <w:sz w:val="22"/>
          <w:szCs w:val="22"/>
        </w:rPr>
        <w:t>After the course is approved at the department and college levels, the Chair or designee of the College</w:t>
      </w:r>
      <w:r w:rsidR="0095274D">
        <w:rPr>
          <w:sz w:val="22"/>
          <w:szCs w:val="22"/>
        </w:rPr>
        <w:t>’s</w:t>
      </w:r>
      <w:r w:rsidR="00774D86">
        <w:rPr>
          <w:sz w:val="22"/>
          <w:szCs w:val="22"/>
        </w:rPr>
        <w:t xml:space="preserve"> Curriculum Committee sh</w:t>
      </w:r>
      <w:r w:rsidR="0095274D">
        <w:rPr>
          <w:sz w:val="22"/>
          <w:szCs w:val="22"/>
        </w:rPr>
        <w:t>ould</w:t>
      </w:r>
      <w:r w:rsidR="00774D86">
        <w:rPr>
          <w:sz w:val="22"/>
          <w:szCs w:val="22"/>
        </w:rPr>
        <w:t xml:space="preserve"> submit the </w:t>
      </w:r>
      <w:r w:rsidR="00C07AD0">
        <w:rPr>
          <w:sz w:val="22"/>
          <w:szCs w:val="22"/>
        </w:rPr>
        <w:t>designation application, syllabus, and any supporting materials</w:t>
      </w:r>
      <w:r w:rsidR="00774D86">
        <w:rPr>
          <w:sz w:val="22"/>
          <w:szCs w:val="22"/>
        </w:rPr>
        <w:t xml:space="preserve"> with a statement of purpose and d</w:t>
      </w:r>
      <w:r w:rsidR="00774D86" w:rsidRPr="00AB5915">
        <w:rPr>
          <w:sz w:val="22"/>
          <w:szCs w:val="22"/>
        </w:rPr>
        <w:t xml:space="preserve">ocumentation of approval </w:t>
      </w:r>
      <w:r w:rsidRPr="00AB5915">
        <w:rPr>
          <w:sz w:val="22"/>
          <w:szCs w:val="22"/>
        </w:rPr>
        <w:t xml:space="preserve">of </w:t>
      </w:r>
      <w:r>
        <w:rPr>
          <w:sz w:val="22"/>
          <w:szCs w:val="22"/>
        </w:rPr>
        <w:t xml:space="preserve">the </w:t>
      </w:r>
      <w:r w:rsidRPr="00AB5915">
        <w:rPr>
          <w:sz w:val="22"/>
          <w:szCs w:val="22"/>
        </w:rPr>
        <w:t xml:space="preserve">new </w:t>
      </w:r>
      <w:r>
        <w:rPr>
          <w:sz w:val="22"/>
          <w:szCs w:val="22"/>
        </w:rPr>
        <w:t xml:space="preserve">“S” </w:t>
      </w:r>
      <w:r w:rsidRPr="00AB5915">
        <w:rPr>
          <w:sz w:val="22"/>
          <w:szCs w:val="22"/>
        </w:rPr>
        <w:t>course at the department and college levels. (Note that the addition of the "S" designation to a course number constitutes the proposal of a new course, even if developed from an existing course, and must follow the standard approval process for new courses.)</w:t>
      </w:r>
      <w:r w:rsidR="00C07AD0">
        <w:rPr>
          <w:sz w:val="22"/>
          <w:szCs w:val="22"/>
        </w:rPr>
        <w:t xml:space="preserve"> </w:t>
      </w:r>
      <w:r w:rsidR="00AB0B67">
        <w:rPr>
          <w:sz w:val="22"/>
          <w:szCs w:val="22"/>
        </w:rPr>
        <w:t>Prop</w:t>
      </w:r>
      <w:r w:rsidR="00A91E7C">
        <w:rPr>
          <w:sz w:val="22"/>
          <w:szCs w:val="22"/>
        </w:rPr>
        <w:t>osals and accompanying syllabi</w:t>
      </w:r>
      <w:r w:rsidR="00AB0B67">
        <w:rPr>
          <w:sz w:val="22"/>
          <w:szCs w:val="22"/>
        </w:rPr>
        <w:t xml:space="preserve"> are submitted through each college’s standard curricular approval process. </w:t>
      </w:r>
    </w:p>
    <w:p w14:paraId="13814835" w14:textId="77777777" w:rsidR="0095274D" w:rsidRDefault="0095274D" w:rsidP="00AB5915">
      <w:pPr>
        <w:rPr>
          <w:sz w:val="22"/>
          <w:szCs w:val="22"/>
        </w:rPr>
      </w:pPr>
    </w:p>
    <w:p w14:paraId="705AC321" w14:textId="3FFE2293" w:rsidR="00424FBE" w:rsidRDefault="00AB0B67" w:rsidP="00AB5915">
      <w:pPr>
        <w:rPr>
          <w:sz w:val="22"/>
          <w:szCs w:val="22"/>
        </w:rPr>
      </w:pPr>
      <w:r>
        <w:rPr>
          <w:sz w:val="22"/>
          <w:szCs w:val="22"/>
        </w:rPr>
        <w:t xml:space="preserve">The designated college representative then submits any proposals that have received college-level approval to </w:t>
      </w:r>
      <w:r w:rsidR="00AB5915" w:rsidRPr="00AB5915">
        <w:rPr>
          <w:sz w:val="22"/>
          <w:szCs w:val="22"/>
        </w:rPr>
        <w:t xml:space="preserve">Molly Sullivan, Coordinator for Curriculum and Catalogue, at </w:t>
      </w:r>
      <w:hyperlink r:id="rId8" w:history="1">
        <w:r w:rsidR="00AB5915" w:rsidRPr="004724F2">
          <w:rPr>
            <w:rStyle w:val="Hyperlink"/>
            <w:sz w:val="22"/>
            <w:szCs w:val="22"/>
          </w:rPr>
          <w:t>msulli27@utk.edu</w:t>
        </w:r>
      </w:hyperlink>
      <w:r w:rsidR="00AB5915">
        <w:rPr>
          <w:sz w:val="22"/>
          <w:szCs w:val="22"/>
        </w:rPr>
        <w:t xml:space="preserve">. </w:t>
      </w:r>
      <w:r w:rsidR="00AB5915" w:rsidRPr="00AB5915">
        <w:rPr>
          <w:sz w:val="22"/>
          <w:szCs w:val="22"/>
        </w:rPr>
        <w:t>Catalog proposal information must be sent as a Microsoft Word file; application material may be sent as Microsoft Word or PDF.</w:t>
      </w:r>
    </w:p>
    <w:p w14:paraId="64FCC7EA" w14:textId="77777777" w:rsidR="00AB5915" w:rsidRDefault="00AB5915" w:rsidP="00AB5915">
      <w:pPr>
        <w:rPr>
          <w:sz w:val="22"/>
          <w:szCs w:val="22"/>
        </w:rPr>
      </w:pPr>
    </w:p>
    <w:p w14:paraId="1F2659AB" w14:textId="11C4E5E1" w:rsidR="0095274D" w:rsidRDefault="00AB5915" w:rsidP="00AB5915">
      <w:pPr>
        <w:rPr>
          <w:sz w:val="22"/>
          <w:szCs w:val="22"/>
        </w:rPr>
      </w:pPr>
      <w:r w:rsidRPr="00AB5915">
        <w:rPr>
          <w:b/>
          <w:sz w:val="22"/>
          <w:szCs w:val="22"/>
        </w:rPr>
        <w:t>Deadline</w:t>
      </w:r>
      <w:r w:rsidR="00833D71">
        <w:rPr>
          <w:b/>
          <w:sz w:val="22"/>
          <w:szCs w:val="22"/>
        </w:rPr>
        <w:t xml:space="preserve"> and Additional Support</w:t>
      </w:r>
      <w:r w:rsidRPr="00AB5915">
        <w:rPr>
          <w:b/>
          <w:sz w:val="22"/>
          <w:szCs w:val="22"/>
        </w:rPr>
        <w:t>:</w:t>
      </w:r>
      <w:r>
        <w:rPr>
          <w:sz w:val="22"/>
          <w:szCs w:val="22"/>
        </w:rPr>
        <w:t xml:space="preserve"> </w:t>
      </w:r>
    </w:p>
    <w:p w14:paraId="574663D1" w14:textId="77777777" w:rsidR="0095274D" w:rsidRDefault="0095274D" w:rsidP="00AB5915">
      <w:pPr>
        <w:rPr>
          <w:sz w:val="22"/>
          <w:szCs w:val="22"/>
        </w:rPr>
      </w:pPr>
    </w:p>
    <w:p w14:paraId="508506D0" w14:textId="2E28F905" w:rsidR="00833D71" w:rsidRPr="00AB5915" w:rsidRDefault="00AB5915" w:rsidP="00833D71">
      <w:pPr>
        <w:rPr>
          <w:sz w:val="22"/>
          <w:szCs w:val="22"/>
        </w:rPr>
      </w:pPr>
      <w:r w:rsidRPr="00AB5915">
        <w:rPr>
          <w:sz w:val="22"/>
          <w:szCs w:val="22"/>
        </w:rPr>
        <w:t xml:space="preserve">Proposals must be submitted </w:t>
      </w:r>
      <w:r w:rsidR="00AB0B67" w:rsidRPr="00AB0B67">
        <w:rPr>
          <w:sz w:val="22"/>
          <w:szCs w:val="22"/>
          <w:u w:val="single"/>
        </w:rPr>
        <w:t>by the college representative</w:t>
      </w:r>
      <w:r w:rsidR="00AB0B67">
        <w:rPr>
          <w:sz w:val="22"/>
          <w:szCs w:val="22"/>
        </w:rPr>
        <w:t xml:space="preserve"> </w:t>
      </w:r>
      <w:r w:rsidR="00C07AD0">
        <w:rPr>
          <w:sz w:val="22"/>
          <w:szCs w:val="22"/>
        </w:rPr>
        <w:t xml:space="preserve">to Molly Sullivan </w:t>
      </w:r>
      <w:r w:rsidRPr="00AB5915">
        <w:rPr>
          <w:sz w:val="22"/>
          <w:szCs w:val="22"/>
        </w:rPr>
        <w:t xml:space="preserve">by October </w:t>
      </w:r>
      <w:r w:rsidR="00774D86">
        <w:rPr>
          <w:sz w:val="22"/>
          <w:szCs w:val="22"/>
        </w:rPr>
        <w:t>15</w:t>
      </w:r>
      <w:r w:rsidRPr="00AB5915">
        <w:rPr>
          <w:sz w:val="22"/>
          <w:szCs w:val="22"/>
        </w:rPr>
        <w:t>, 201</w:t>
      </w:r>
      <w:r w:rsidR="00BD141A">
        <w:rPr>
          <w:sz w:val="22"/>
          <w:szCs w:val="22"/>
        </w:rPr>
        <w:t>9</w:t>
      </w:r>
      <w:r w:rsidRPr="00AB5915">
        <w:rPr>
          <w:sz w:val="22"/>
          <w:szCs w:val="22"/>
        </w:rPr>
        <w:t xml:space="preserve"> for consi</w:t>
      </w:r>
      <w:r w:rsidR="00BD141A">
        <w:rPr>
          <w:sz w:val="22"/>
          <w:szCs w:val="22"/>
        </w:rPr>
        <w:t>deration of inclusion in the 2020</w:t>
      </w:r>
      <w:r w:rsidRPr="00AB5915">
        <w:rPr>
          <w:sz w:val="22"/>
          <w:szCs w:val="22"/>
        </w:rPr>
        <w:t>-</w:t>
      </w:r>
      <w:r w:rsidR="00BD141A">
        <w:rPr>
          <w:sz w:val="22"/>
          <w:szCs w:val="22"/>
        </w:rPr>
        <w:t>21</w:t>
      </w:r>
      <w:r w:rsidRPr="00AB5915">
        <w:rPr>
          <w:sz w:val="22"/>
          <w:szCs w:val="22"/>
        </w:rPr>
        <w:t xml:space="preserve"> catalogue.  </w:t>
      </w:r>
      <w:r w:rsidR="00833D71" w:rsidRPr="00AB5915">
        <w:rPr>
          <w:sz w:val="22"/>
          <w:szCs w:val="22"/>
        </w:rPr>
        <w:t xml:space="preserve">Once a course has been approved, it will be immediately listed as an official S-designated course on the </w:t>
      </w:r>
      <w:r w:rsidR="00833D71">
        <w:rPr>
          <w:sz w:val="22"/>
          <w:szCs w:val="22"/>
        </w:rPr>
        <w:t>Teaching &amp; Learning Innovation website</w:t>
      </w:r>
      <w:r w:rsidR="00833D71">
        <w:rPr>
          <w:sz w:val="22"/>
          <w:szCs w:val="22"/>
        </w:rPr>
        <w:t>,</w:t>
      </w:r>
      <w:r w:rsidR="00833D71" w:rsidRPr="00AB5915">
        <w:rPr>
          <w:sz w:val="22"/>
          <w:szCs w:val="22"/>
        </w:rPr>
        <w:t xml:space="preserve"> and </w:t>
      </w:r>
      <w:r w:rsidR="00833D71" w:rsidRPr="009C64DD">
        <w:rPr>
          <w:sz w:val="22"/>
          <w:szCs w:val="22"/>
        </w:rPr>
        <w:t>will receive preferred review status for faculty development and course redesign funding offered through Teac</w:t>
      </w:r>
      <w:r w:rsidR="00833D71">
        <w:rPr>
          <w:sz w:val="22"/>
          <w:szCs w:val="22"/>
        </w:rPr>
        <w:t>hing &amp; Learning Innovation</w:t>
      </w:r>
      <w:bookmarkStart w:id="0" w:name="_GoBack"/>
      <w:bookmarkEnd w:id="0"/>
      <w:r w:rsidR="00833D71">
        <w:rPr>
          <w:sz w:val="22"/>
          <w:szCs w:val="22"/>
        </w:rPr>
        <w:t>.</w:t>
      </w:r>
    </w:p>
    <w:p w14:paraId="508E50D2" w14:textId="7161D068" w:rsidR="00AB5915" w:rsidRPr="00AB5915" w:rsidRDefault="00AB5915" w:rsidP="00AB5915">
      <w:pPr>
        <w:rPr>
          <w:sz w:val="22"/>
          <w:szCs w:val="22"/>
        </w:rPr>
      </w:pPr>
    </w:p>
    <w:p w14:paraId="7EBF68F1" w14:textId="77777777" w:rsidR="00AB5915" w:rsidRPr="00AB5915" w:rsidRDefault="00AB5915" w:rsidP="00AB5915">
      <w:pPr>
        <w:rPr>
          <w:sz w:val="22"/>
          <w:szCs w:val="22"/>
        </w:rPr>
      </w:pPr>
    </w:p>
    <w:p w14:paraId="5AB16FF6" w14:textId="77777777" w:rsidR="00B54AE7" w:rsidRDefault="00B54AE7" w:rsidP="00AB5915">
      <w:pPr>
        <w:rPr>
          <w:sz w:val="20"/>
          <w:u w:val="single"/>
        </w:rPr>
      </w:pPr>
    </w:p>
    <w:p w14:paraId="6526872E" w14:textId="7F78577B" w:rsidR="00B54AE7" w:rsidRDefault="00B54AE7" w:rsidP="00AB5915">
      <w:pPr>
        <w:rPr>
          <w:sz w:val="20"/>
          <w:u w:val="single"/>
        </w:rPr>
      </w:pPr>
    </w:p>
    <w:p w14:paraId="46C0FE1F" w14:textId="74E1CF96" w:rsidR="0095274D" w:rsidRDefault="0095274D" w:rsidP="00AB5915">
      <w:pPr>
        <w:rPr>
          <w:sz w:val="20"/>
          <w:u w:val="single"/>
        </w:rPr>
      </w:pPr>
    </w:p>
    <w:p w14:paraId="15E5B604" w14:textId="28846922" w:rsidR="0095274D" w:rsidRDefault="0095274D" w:rsidP="00AB5915">
      <w:pPr>
        <w:rPr>
          <w:sz w:val="20"/>
          <w:u w:val="single"/>
        </w:rPr>
      </w:pPr>
    </w:p>
    <w:p w14:paraId="7AC2013C" w14:textId="7FB64A5D" w:rsidR="0095274D" w:rsidRDefault="0095274D" w:rsidP="00AB5915">
      <w:pPr>
        <w:rPr>
          <w:sz w:val="20"/>
          <w:u w:val="single"/>
        </w:rPr>
      </w:pPr>
    </w:p>
    <w:p w14:paraId="0F4FBD76" w14:textId="01240C19" w:rsidR="0095274D" w:rsidRDefault="0095274D" w:rsidP="00AB5915">
      <w:pPr>
        <w:rPr>
          <w:sz w:val="20"/>
          <w:u w:val="single"/>
        </w:rPr>
      </w:pPr>
    </w:p>
    <w:p w14:paraId="5EF0BF59" w14:textId="54E98FE0" w:rsidR="0095274D" w:rsidRDefault="0095274D" w:rsidP="00AB5915">
      <w:pPr>
        <w:rPr>
          <w:sz w:val="20"/>
          <w:u w:val="single"/>
        </w:rPr>
      </w:pPr>
    </w:p>
    <w:p w14:paraId="6622E625" w14:textId="1A633C19" w:rsidR="0095274D" w:rsidRDefault="0095274D" w:rsidP="00AB5915">
      <w:pPr>
        <w:rPr>
          <w:sz w:val="20"/>
          <w:u w:val="single"/>
        </w:rPr>
      </w:pPr>
    </w:p>
    <w:p w14:paraId="6C053916" w14:textId="77777777" w:rsidR="00833D71" w:rsidRDefault="00833D71" w:rsidP="00AB5915">
      <w:pPr>
        <w:rPr>
          <w:sz w:val="20"/>
          <w:u w:val="single"/>
        </w:rPr>
      </w:pPr>
    </w:p>
    <w:p w14:paraId="2A99D67D" w14:textId="1F6BEF10" w:rsidR="0095274D" w:rsidRDefault="0095274D" w:rsidP="00AB5915">
      <w:pPr>
        <w:rPr>
          <w:sz w:val="20"/>
          <w:u w:val="single"/>
        </w:rPr>
      </w:pPr>
    </w:p>
    <w:p w14:paraId="0ABF0C36" w14:textId="5E442D76" w:rsidR="00833D71" w:rsidRDefault="00833D71" w:rsidP="00AB5915">
      <w:pPr>
        <w:rPr>
          <w:sz w:val="20"/>
          <w:u w:val="single"/>
        </w:rPr>
      </w:pPr>
    </w:p>
    <w:p w14:paraId="7890EA65" w14:textId="6A7D1F6C" w:rsidR="00833D71" w:rsidRDefault="00833D71" w:rsidP="00AB5915">
      <w:pPr>
        <w:rPr>
          <w:sz w:val="20"/>
          <w:u w:val="single"/>
        </w:rPr>
      </w:pPr>
    </w:p>
    <w:p w14:paraId="5D2B6074" w14:textId="64202365" w:rsidR="00833D71" w:rsidRDefault="00833D71" w:rsidP="00AB5915">
      <w:pPr>
        <w:rPr>
          <w:sz w:val="20"/>
          <w:u w:val="single"/>
        </w:rPr>
      </w:pPr>
    </w:p>
    <w:p w14:paraId="3FFAD10D" w14:textId="77777777" w:rsidR="00833D71" w:rsidRDefault="00833D71" w:rsidP="00AB5915">
      <w:pPr>
        <w:rPr>
          <w:sz w:val="20"/>
          <w:u w:val="single"/>
        </w:rPr>
      </w:pPr>
    </w:p>
    <w:p w14:paraId="379E1C60" w14:textId="4481DB43" w:rsidR="00B54AE7" w:rsidRPr="0095274D" w:rsidRDefault="00B54AE7" w:rsidP="00AB5915">
      <w:pPr>
        <w:rPr>
          <w:sz w:val="22"/>
          <w:szCs w:val="22"/>
          <w:u w:val="single"/>
        </w:rPr>
      </w:pPr>
      <w:r w:rsidRPr="0095274D">
        <w:rPr>
          <w:sz w:val="22"/>
          <w:szCs w:val="22"/>
          <w:u w:val="single"/>
        </w:rPr>
        <w:lastRenderedPageBreak/>
        <w:t>Footnotes from page 1:</w:t>
      </w:r>
    </w:p>
    <w:p w14:paraId="372B4717" w14:textId="77777777" w:rsidR="00B54AE7" w:rsidRPr="0095274D" w:rsidRDefault="00B54AE7" w:rsidP="00B54AE7">
      <w:pPr>
        <w:pStyle w:val="FootnoteText"/>
        <w:rPr>
          <w:sz w:val="22"/>
          <w:szCs w:val="22"/>
        </w:rPr>
      </w:pPr>
    </w:p>
    <w:p w14:paraId="47E5F84B" w14:textId="56766A60" w:rsidR="00B54AE7" w:rsidRPr="0095274D" w:rsidRDefault="00B54AE7" w:rsidP="00B54AE7">
      <w:pPr>
        <w:pStyle w:val="FootnoteText"/>
        <w:rPr>
          <w:sz w:val="22"/>
          <w:szCs w:val="22"/>
        </w:rPr>
      </w:pPr>
      <w:r w:rsidRPr="0095274D">
        <w:rPr>
          <w:sz w:val="22"/>
          <w:szCs w:val="22"/>
        </w:rPr>
        <w:t xml:space="preserve">1 - </w:t>
      </w:r>
      <w:r w:rsidRPr="0095274D">
        <w:rPr>
          <w:sz w:val="22"/>
          <w:szCs w:val="22"/>
        </w:rPr>
        <w:t xml:space="preserve">Enhanced academic learning refers to the added value the service project brings to the students’ learning. </w:t>
      </w:r>
      <w:proofErr w:type="gramStart"/>
      <w:r w:rsidRPr="0095274D">
        <w:rPr>
          <w:sz w:val="22"/>
          <w:szCs w:val="22"/>
        </w:rPr>
        <w:t>Generally</w:t>
      </w:r>
      <w:proofErr w:type="gramEnd"/>
      <w:r w:rsidRPr="0095274D">
        <w:rPr>
          <w:sz w:val="22"/>
          <w:szCs w:val="22"/>
        </w:rPr>
        <w:t xml:space="preserve"> there are two ways that the integration of service can enhance learning: 1) through complementing more traditional classroom- and book-based pedagogies (e.g. students improving Spanish speaking abilities by serving in a Latino/a community organization), or 2) through enabling learning possibilities precluded in more traditional pedagogies (e.g. the same students learning about Latino/a culture as a complement to their language learning). The instructor should be purposeful to design the service project and accompanying coursework in a way that enhances the students’ academic learning in one or both of these ways. The instructor should communicate these provisions to the community partner during the planning stage.</w:t>
      </w:r>
    </w:p>
    <w:p w14:paraId="3BAA7CF1" w14:textId="77777777" w:rsidR="00B54AE7" w:rsidRPr="0095274D" w:rsidRDefault="00B54AE7" w:rsidP="00B54AE7">
      <w:pPr>
        <w:pStyle w:val="FootnoteText"/>
        <w:rPr>
          <w:sz w:val="22"/>
          <w:szCs w:val="22"/>
        </w:rPr>
      </w:pPr>
    </w:p>
    <w:p w14:paraId="20A94597" w14:textId="57C50054" w:rsidR="00B54AE7" w:rsidRPr="0095274D" w:rsidRDefault="00B54AE7" w:rsidP="00B54AE7">
      <w:pPr>
        <w:pStyle w:val="FootnoteText"/>
        <w:rPr>
          <w:sz w:val="22"/>
          <w:szCs w:val="22"/>
        </w:rPr>
      </w:pPr>
      <w:r w:rsidRPr="0095274D">
        <w:rPr>
          <w:sz w:val="22"/>
          <w:szCs w:val="22"/>
        </w:rPr>
        <w:t xml:space="preserve">2 - </w:t>
      </w:r>
      <w:r w:rsidRPr="0095274D">
        <w:rPr>
          <w:sz w:val="22"/>
          <w:szCs w:val="22"/>
        </w:rPr>
        <w:t>Civic learning involves the personalizing of the learning experience in light of the student’s role as a citizen, scholar, or professional. The civic knowledge, skills, values, or propensities to be advanced through the service-learning should be determined by the instructor, and should be reflected in the student learning outcomes and content of the course. Civic learning can range in its level of intensity from a general focus on responsible citizenship (e.g. democratic preparedness or professional ethics) to an emphasis on change-making (e.g. political or social action).</w:t>
      </w:r>
    </w:p>
    <w:p w14:paraId="5A60F4F3" w14:textId="77777777" w:rsidR="00B54AE7" w:rsidRPr="0095274D" w:rsidRDefault="00B54AE7" w:rsidP="00B54AE7">
      <w:pPr>
        <w:pStyle w:val="FootnoteText"/>
        <w:rPr>
          <w:sz w:val="22"/>
          <w:szCs w:val="22"/>
        </w:rPr>
      </w:pPr>
    </w:p>
    <w:p w14:paraId="18DF804F" w14:textId="711B7ECD" w:rsidR="00B54AE7" w:rsidRPr="0095274D" w:rsidRDefault="00B54AE7" w:rsidP="00B54AE7">
      <w:pPr>
        <w:pStyle w:val="FootnoteText"/>
        <w:rPr>
          <w:sz w:val="22"/>
          <w:szCs w:val="22"/>
        </w:rPr>
      </w:pPr>
      <w:r w:rsidRPr="0095274D">
        <w:rPr>
          <w:sz w:val="22"/>
          <w:szCs w:val="22"/>
        </w:rPr>
        <w:t xml:space="preserve">3 - </w:t>
      </w:r>
      <w:r w:rsidRPr="0095274D">
        <w:rPr>
          <w:sz w:val="22"/>
          <w:szCs w:val="22"/>
        </w:rPr>
        <w:t>A service-learning community partner can be 1) any nonprofit or public sector organization, agency, or institution, or 2) a private sector business or establishment that is underserved in the traditional market economy. In cases such as university-operated legal or veterinary clinics, the community partner can also be the client.</w:t>
      </w:r>
    </w:p>
    <w:p w14:paraId="73A87775" w14:textId="77777777" w:rsidR="00B54AE7" w:rsidRPr="0095274D" w:rsidRDefault="00B54AE7" w:rsidP="00B54AE7">
      <w:pPr>
        <w:pStyle w:val="FootnoteText"/>
        <w:rPr>
          <w:sz w:val="22"/>
          <w:szCs w:val="22"/>
        </w:rPr>
      </w:pPr>
    </w:p>
    <w:p w14:paraId="514A10FE" w14:textId="6D7764D8" w:rsidR="00B54AE7" w:rsidRPr="0095274D" w:rsidRDefault="00B54AE7" w:rsidP="00B54AE7">
      <w:pPr>
        <w:pStyle w:val="FootnoteText"/>
        <w:rPr>
          <w:sz w:val="22"/>
          <w:szCs w:val="22"/>
        </w:rPr>
      </w:pPr>
      <w:r w:rsidRPr="0095274D">
        <w:rPr>
          <w:sz w:val="22"/>
          <w:szCs w:val="22"/>
        </w:rPr>
        <w:t xml:space="preserve">4 - </w:t>
      </w:r>
      <w:r w:rsidRPr="0095274D">
        <w:rPr>
          <w:sz w:val="22"/>
          <w:szCs w:val="22"/>
        </w:rPr>
        <w:t xml:space="preserve">The service project or experience should 1) clearly contribute to the community partner organization’s ability to fulfill their mission or charge, and 2) clearly advance one or more academic and civic student learning outcomes from the course. The instructor and the community partner should work together to define an appropriate service project or experience in line with these goals. This entails the instructor sharing the anticipated student learning outcomes with the community partner, and the community partner sharing information about the organization’s mission and needs. </w:t>
      </w:r>
    </w:p>
    <w:p w14:paraId="25A74CB5" w14:textId="77777777" w:rsidR="00B54AE7" w:rsidRPr="0095274D" w:rsidRDefault="00B54AE7" w:rsidP="00B54AE7">
      <w:pPr>
        <w:pStyle w:val="FootnoteText"/>
        <w:rPr>
          <w:sz w:val="22"/>
          <w:szCs w:val="22"/>
        </w:rPr>
      </w:pPr>
    </w:p>
    <w:p w14:paraId="217AC641" w14:textId="45B35C37" w:rsidR="00B54AE7" w:rsidRPr="0095274D" w:rsidRDefault="00B54AE7" w:rsidP="00B54AE7">
      <w:pPr>
        <w:pStyle w:val="FootnoteText"/>
        <w:rPr>
          <w:sz w:val="22"/>
          <w:szCs w:val="22"/>
        </w:rPr>
      </w:pPr>
      <w:r w:rsidRPr="0095274D">
        <w:rPr>
          <w:sz w:val="22"/>
          <w:szCs w:val="22"/>
        </w:rPr>
        <w:t xml:space="preserve">5 - </w:t>
      </w:r>
      <w:r w:rsidRPr="0095274D">
        <w:rPr>
          <w:sz w:val="22"/>
          <w:szCs w:val="22"/>
        </w:rPr>
        <w:t xml:space="preserve">Reflection is the purposeful consideration of the service project or experience by students in light of intended academic and civic learning outcomes. Reflection assignments might incorporate analysis of issues observed in the community in light of structural systems of inequality, synthesis of new ideas, self and/or peer evaluation, development of recommendations or policy proposals, etc. Through ongoing reflection, the service should continually inform the learning and the learning should continually inform the service so that each adds value to the other. Reflection activities can include guided discussion, structured journals, blog entries, oral presentations, or written essays. Reflection questions should be rooted in course content, and should prompt students to consider their roles and responsibilities as citizens, academics, and professionals in a complex and diverse society. </w:t>
      </w:r>
    </w:p>
    <w:p w14:paraId="343199E9" w14:textId="77777777" w:rsidR="0061104D" w:rsidRPr="00B54AE7" w:rsidRDefault="0061104D" w:rsidP="00B54AE7">
      <w:pPr>
        <w:rPr>
          <w:sz w:val="32"/>
        </w:rPr>
      </w:pPr>
    </w:p>
    <w:p w14:paraId="6DEA5091" w14:textId="77777777" w:rsidR="0061104D" w:rsidRPr="00B54AE7" w:rsidRDefault="0061104D" w:rsidP="00B54AE7">
      <w:pPr>
        <w:rPr>
          <w:sz w:val="32"/>
        </w:rPr>
      </w:pPr>
    </w:p>
    <w:p w14:paraId="5121AB1C" w14:textId="77777777" w:rsidR="0061104D" w:rsidRDefault="0061104D" w:rsidP="00AB5915"/>
    <w:p w14:paraId="13AE2252" w14:textId="77777777" w:rsidR="0061104D" w:rsidRDefault="0061104D" w:rsidP="00AB5915"/>
    <w:p w14:paraId="1A6772C4" w14:textId="77777777" w:rsidR="0061104D" w:rsidRDefault="0061104D" w:rsidP="00AB5915"/>
    <w:p w14:paraId="0DAA8DEA" w14:textId="77777777" w:rsidR="0061104D" w:rsidRDefault="0061104D" w:rsidP="00AB5915"/>
    <w:p w14:paraId="63131323" w14:textId="77777777" w:rsidR="0061104D" w:rsidRDefault="0061104D" w:rsidP="00AB5915"/>
    <w:p w14:paraId="6DD20A57" w14:textId="77777777" w:rsidR="0061104D" w:rsidRDefault="0061104D" w:rsidP="00AB5915"/>
    <w:p w14:paraId="2DE3A9A3" w14:textId="77777777" w:rsidR="0061104D" w:rsidRDefault="0061104D" w:rsidP="00AB5915"/>
    <w:p w14:paraId="11EF99C6" w14:textId="77777777" w:rsidR="0061104D" w:rsidRDefault="0061104D" w:rsidP="00AB5915"/>
    <w:p w14:paraId="2FEB0651" w14:textId="77777777" w:rsidR="0061104D" w:rsidRDefault="0061104D" w:rsidP="00AB5915"/>
    <w:p w14:paraId="4CBDA18C" w14:textId="77777777" w:rsidR="0061104D" w:rsidRDefault="0061104D" w:rsidP="00AB5915">
      <w:pPr>
        <w:sectPr w:rsidR="0061104D">
          <w:footerReference w:type="default" r:id="rId9"/>
          <w:pgSz w:w="12240" w:h="15840"/>
          <w:pgMar w:top="720" w:right="1440" w:bottom="720" w:left="1440" w:header="720" w:footer="720" w:gutter="0"/>
          <w:cols w:space="720"/>
        </w:sectPr>
      </w:pPr>
    </w:p>
    <w:tbl>
      <w:tblPr>
        <w:tblStyle w:val="TableGrid"/>
        <w:tblpPr w:leftFromText="180" w:rightFromText="180" w:vertAnchor="page" w:horzAnchor="margin" w:tblpY="1531"/>
        <w:tblW w:w="14400" w:type="dxa"/>
        <w:tblLook w:val="04A0" w:firstRow="1" w:lastRow="0" w:firstColumn="1" w:lastColumn="0" w:noHBand="0" w:noVBand="1"/>
      </w:tblPr>
      <w:tblGrid>
        <w:gridCol w:w="2880"/>
        <w:gridCol w:w="2700"/>
        <w:gridCol w:w="2790"/>
        <w:gridCol w:w="2970"/>
        <w:gridCol w:w="3060"/>
      </w:tblGrid>
      <w:tr w:rsidR="0061104D" w:rsidRPr="00AA61F8" w14:paraId="0ED65BE6" w14:textId="77777777" w:rsidTr="002C0A7F">
        <w:tc>
          <w:tcPr>
            <w:tcW w:w="14400" w:type="dxa"/>
            <w:gridSpan w:val="5"/>
            <w:tcBorders>
              <w:top w:val="nil"/>
              <w:left w:val="nil"/>
              <w:right w:val="nil"/>
            </w:tcBorders>
          </w:tcPr>
          <w:p w14:paraId="21EB51A0" w14:textId="5DFDF684" w:rsidR="0061104D" w:rsidRDefault="0061104D" w:rsidP="002C0A7F">
            <w:pPr>
              <w:pStyle w:val="Header"/>
              <w:jc w:val="center"/>
              <w:rPr>
                <w:b/>
                <w:i/>
                <w:sz w:val="28"/>
              </w:rPr>
            </w:pPr>
            <w:r w:rsidRPr="00AA61F8">
              <w:rPr>
                <w:b/>
                <w:i/>
                <w:sz w:val="28"/>
              </w:rPr>
              <w:lastRenderedPageBreak/>
              <w:t xml:space="preserve">Service-Learning Course Designation </w:t>
            </w:r>
            <w:r>
              <w:rPr>
                <w:b/>
                <w:i/>
                <w:sz w:val="28"/>
              </w:rPr>
              <w:t xml:space="preserve">Reviewer </w:t>
            </w:r>
            <w:r w:rsidRPr="00AA61F8">
              <w:rPr>
                <w:b/>
                <w:i/>
                <w:sz w:val="28"/>
              </w:rPr>
              <w:t>Rubric</w:t>
            </w:r>
            <w:r w:rsidR="007A06CA">
              <w:rPr>
                <w:b/>
                <w:i/>
                <w:sz w:val="28"/>
              </w:rPr>
              <w:t>s</w:t>
            </w:r>
          </w:p>
          <w:p w14:paraId="54445F04" w14:textId="77777777" w:rsidR="007A06CA" w:rsidRDefault="007A06CA" w:rsidP="002C0A7F">
            <w:pPr>
              <w:pStyle w:val="Header"/>
              <w:jc w:val="center"/>
              <w:rPr>
                <w:b/>
                <w:i/>
                <w:sz w:val="28"/>
              </w:rPr>
            </w:pPr>
          </w:p>
          <w:p w14:paraId="5BA731D4" w14:textId="4E1CC502" w:rsidR="0061104D" w:rsidRPr="00B64393" w:rsidRDefault="0061104D" w:rsidP="002C0A7F">
            <w:pPr>
              <w:pStyle w:val="Header"/>
              <w:rPr>
                <w:i/>
                <w:sz w:val="20"/>
              </w:rPr>
            </w:pPr>
            <w:r w:rsidRPr="00B64393">
              <w:rPr>
                <w:i/>
                <w:sz w:val="20"/>
              </w:rPr>
              <w:t>The Service-Learning (S) course designation is intended to allow departments to demonstrate alignment of proposed service-learning courses with University of Tennessee, Knoxville standards for effectiveness. S Designation applications will be reviewed by the Service-Learning Subcommittee, and successful applications routed to the Curriculum Committee of the Undergraduate Council.</w:t>
            </w:r>
            <w:r>
              <w:rPr>
                <w:i/>
                <w:sz w:val="20"/>
              </w:rPr>
              <w:t xml:space="preserve"> </w:t>
            </w:r>
            <w:r w:rsidRPr="00B64393">
              <w:rPr>
                <w:i/>
                <w:sz w:val="20"/>
              </w:rPr>
              <w:t xml:space="preserve">The following rubric will be used by </w:t>
            </w:r>
            <w:r>
              <w:rPr>
                <w:i/>
                <w:sz w:val="20"/>
              </w:rPr>
              <w:t xml:space="preserve">the </w:t>
            </w:r>
            <w:r w:rsidR="0095274D">
              <w:rPr>
                <w:i/>
                <w:sz w:val="20"/>
              </w:rPr>
              <w:t>S designation subcommittee</w:t>
            </w:r>
            <w:r w:rsidR="005A109B">
              <w:rPr>
                <w:i/>
                <w:sz w:val="20"/>
              </w:rPr>
              <w:t xml:space="preserve"> </w:t>
            </w:r>
            <w:r w:rsidRPr="00B64393">
              <w:rPr>
                <w:i/>
                <w:sz w:val="20"/>
              </w:rPr>
              <w:t>to score applicant responses to S</w:t>
            </w:r>
            <w:r w:rsidR="0095274D">
              <w:rPr>
                <w:i/>
                <w:sz w:val="20"/>
              </w:rPr>
              <w:t xml:space="preserve"> d</w:t>
            </w:r>
            <w:r w:rsidRPr="00B64393">
              <w:rPr>
                <w:i/>
                <w:sz w:val="20"/>
              </w:rPr>
              <w:t xml:space="preserve">esignation </w:t>
            </w:r>
            <w:r w:rsidR="0095274D">
              <w:rPr>
                <w:i/>
                <w:sz w:val="20"/>
              </w:rPr>
              <w:t>a</w:t>
            </w:r>
            <w:r w:rsidRPr="00B64393">
              <w:rPr>
                <w:i/>
                <w:sz w:val="20"/>
              </w:rPr>
              <w:t xml:space="preserve">pplication questions. A score of 12 or </w:t>
            </w:r>
            <w:r>
              <w:rPr>
                <w:i/>
                <w:sz w:val="20"/>
              </w:rPr>
              <w:t>high</w:t>
            </w:r>
            <w:r w:rsidRPr="00B64393">
              <w:rPr>
                <w:i/>
                <w:sz w:val="20"/>
              </w:rPr>
              <w:t xml:space="preserve">er </w:t>
            </w:r>
            <w:r>
              <w:rPr>
                <w:i/>
                <w:sz w:val="20"/>
              </w:rPr>
              <w:t>is</w:t>
            </w:r>
            <w:r w:rsidRPr="00B64393">
              <w:rPr>
                <w:i/>
                <w:sz w:val="20"/>
              </w:rPr>
              <w:t xml:space="preserve"> required to receive the designation, with no entries in the (0) column. </w:t>
            </w:r>
          </w:p>
          <w:p w14:paraId="382F6F87" w14:textId="77777777" w:rsidR="0061104D" w:rsidRPr="00B64393" w:rsidRDefault="0061104D" w:rsidP="002C0A7F">
            <w:pPr>
              <w:pStyle w:val="Header"/>
              <w:rPr>
                <w:i/>
              </w:rPr>
            </w:pPr>
          </w:p>
        </w:tc>
      </w:tr>
      <w:tr w:rsidR="0061104D" w:rsidRPr="007A06CA" w14:paraId="74CF1CFD" w14:textId="77777777" w:rsidTr="002C0A7F">
        <w:tc>
          <w:tcPr>
            <w:tcW w:w="2880" w:type="dxa"/>
          </w:tcPr>
          <w:p w14:paraId="50902F77" w14:textId="431E8A2F" w:rsidR="0061104D" w:rsidRPr="007A06CA" w:rsidRDefault="0061104D" w:rsidP="002C0A7F">
            <w:pPr>
              <w:rPr>
                <w:rFonts w:cs="Times"/>
                <w:b/>
                <w:sz w:val="20"/>
              </w:rPr>
            </w:pPr>
            <w:r w:rsidRPr="007A06CA">
              <w:rPr>
                <w:rFonts w:cs="Times"/>
                <w:b/>
                <w:sz w:val="20"/>
              </w:rPr>
              <w:t xml:space="preserve">Designation Standard </w:t>
            </w:r>
            <w:r w:rsidR="0095274D" w:rsidRPr="007A06CA">
              <w:rPr>
                <w:rFonts w:cs="Times"/>
                <w:b/>
                <w:sz w:val="20"/>
              </w:rPr>
              <w:t>#1</w:t>
            </w:r>
            <w:r w:rsidR="007A06CA">
              <w:rPr>
                <w:rFonts w:cs="Times"/>
                <w:b/>
                <w:sz w:val="20"/>
              </w:rPr>
              <w:t xml:space="preserve"> &amp; #2</w:t>
            </w:r>
          </w:p>
          <w:p w14:paraId="4679C8D0" w14:textId="77777777" w:rsidR="0061104D" w:rsidRPr="007A06CA" w:rsidRDefault="0061104D" w:rsidP="002C0A7F">
            <w:pPr>
              <w:rPr>
                <w:rFonts w:cs="Times"/>
                <w:b/>
                <w:sz w:val="20"/>
              </w:rPr>
            </w:pPr>
          </w:p>
        </w:tc>
        <w:tc>
          <w:tcPr>
            <w:tcW w:w="2700" w:type="dxa"/>
          </w:tcPr>
          <w:p w14:paraId="4919B292" w14:textId="77777777" w:rsidR="0061104D" w:rsidRPr="007A06CA" w:rsidRDefault="0061104D" w:rsidP="002C0A7F">
            <w:pPr>
              <w:rPr>
                <w:rFonts w:cs="Times"/>
                <w:b/>
                <w:sz w:val="20"/>
              </w:rPr>
            </w:pPr>
            <w:r w:rsidRPr="007A06CA">
              <w:rPr>
                <w:rFonts w:cs="Times"/>
                <w:b/>
                <w:sz w:val="20"/>
              </w:rPr>
              <w:t>Components of Standard</w:t>
            </w:r>
          </w:p>
        </w:tc>
        <w:tc>
          <w:tcPr>
            <w:tcW w:w="2790" w:type="dxa"/>
          </w:tcPr>
          <w:p w14:paraId="79E4712A" w14:textId="77777777" w:rsidR="0061104D" w:rsidRPr="007A06CA" w:rsidRDefault="0061104D" w:rsidP="002C0A7F">
            <w:pPr>
              <w:rPr>
                <w:rFonts w:cs="Times"/>
                <w:b/>
                <w:sz w:val="20"/>
              </w:rPr>
            </w:pPr>
            <w:r w:rsidRPr="007A06CA">
              <w:rPr>
                <w:rFonts w:cs="Times"/>
                <w:b/>
                <w:sz w:val="20"/>
              </w:rPr>
              <w:t>0 (lowest)</w:t>
            </w:r>
          </w:p>
        </w:tc>
        <w:tc>
          <w:tcPr>
            <w:tcW w:w="2970" w:type="dxa"/>
          </w:tcPr>
          <w:p w14:paraId="4BD64833" w14:textId="77777777" w:rsidR="0061104D" w:rsidRPr="007A06CA" w:rsidRDefault="0061104D" w:rsidP="002C0A7F">
            <w:pPr>
              <w:rPr>
                <w:rFonts w:cs="Times"/>
                <w:b/>
                <w:sz w:val="20"/>
              </w:rPr>
            </w:pPr>
            <w:r w:rsidRPr="007A06CA">
              <w:rPr>
                <w:rFonts w:cs="Times"/>
                <w:b/>
                <w:sz w:val="20"/>
              </w:rPr>
              <w:t>1</w:t>
            </w:r>
          </w:p>
        </w:tc>
        <w:tc>
          <w:tcPr>
            <w:tcW w:w="3060" w:type="dxa"/>
          </w:tcPr>
          <w:p w14:paraId="769CB4C0" w14:textId="77777777" w:rsidR="0061104D" w:rsidRPr="007A06CA" w:rsidRDefault="0061104D" w:rsidP="002C0A7F">
            <w:pPr>
              <w:rPr>
                <w:rFonts w:cs="Times"/>
                <w:b/>
                <w:sz w:val="20"/>
              </w:rPr>
            </w:pPr>
            <w:r w:rsidRPr="007A06CA">
              <w:rPr>
                <w:rFonts w:cs="Times"/>
                <w:b/>
                <w:sz w:val="20"/>
              </w:rPr>
              <w:t>2 (highest)</w:t>
            </w:r>
          </w:p>
        </w:tc>
      </w:tr>
      <w:tr w:rsidR="0061104D" w:rsidRPr="007A06CA" w14:paraId="6BFAD5DA" w14:textId="77777777" w:rsidTr="002C0A7F">
        <w:tc>
          <w:tcPr>
            <w:tcW w:w="2880" w:type="dxa"/>
            <w:vMerge w:val="restart"/>
          </w:tcPr>
          <w:p w14:paraId="4897FDD6" w14:textId="77777777" w:rsidR="0061104D" w:rsidRPr="007A06CA" w:rsidRDefault="0061104D" w:rsidP="002B39C9">
            <w:pPr>
              <w:numPr>
                <w:ilvl w:val="0"/>
                <w:numId w:val="6"/>
              </w:numPr>
              <w:rPr>
                <w:rFonts w:cs="Times"/>
                <w:iCs/>
                <w:sz w:val="20"/>
              </w:rPr>
            </w:pPr>
            <w:r w:rsidRPr="007A06CA">
              <w:rPr>
                <w:rFonts w:cs="Times"/>
                <w:b/>
                <w:sz w:val="20"/>
              </w:rPr>
              <w:t>Outcomes Reflect Enhanced Academic Learning</w:t>
            </w:r>
          </w:p>
          <w:p w14:paraId="03E0D4D0" w14:textId="77777777" w:rsidR="007A06CA" w:rsidRDefault="007A06CA" w:rsidP="002C0A7F">
            <w:pPr>
              <w:rPr>
                <w:rFonts w:cs="Times"/>
                <w:iCs/>
                <w:sz w:val="20"/>
              </w:rPr>
            </w:pPr>
          </w:p>
          <w:p w14:paraId="09F1D230" w14:textId="59B4B06B" w:rsidR="0061104D" w:rsidRPr="007A06CA" w:rsidRDefault="0061104D" w:rsidP="002C0A7F">
            <w:pPr>
              <w:rPr>
                <w:rFonts w:cs="Times"/>
                <w:sz w:val="20"/>
              </w:rPr>
            </w:pPr>
            <w:r w:rsidRPr="007A06CA">
              <w:rPr>
                <w:rFonts w:cs="Times"/>
                <w:iCs/>
                <w:sz w:val="20"/>
              </w:rPr>
              <w:t xml:space="preserve">The course should include clear and specific student learning outcomes, which reflect what students should be able to demonstrate, know, or do by the end of the course. Outcomes should reflect enhanced academic learning from the service project. </w:t>
            </w:r>
          </w:p>
          <w:p w14:paraId="1D192DF1" w14:textId="77777777" w:rsidR="0061104D" w:rsidRPr="007A06CA" w:rsidRDefault="0061104D" w:rsidP="002C0A7F">
            <w:pPr>
              <w:rPr>
                <w:rFonts w:cs="Times"/>
                <w:b/>
                <w:i/>
                <w:sz w:val="20"/>
              </w:rPr>
            </w:pPr>
          </w:p>
        </w:tc>
        <w:tc>
          <w:tcPr>
            <w:tcW w:w="2700" w:type="dxa"/>
          </w:tcPr>
          <w:p w14:paraId="6A043A5C" w14:textId="77777777" w:rsidR="0061104D" w:rsidRPr="007A06CA" w:rsidRDefault="0061104D" w:rsidP="002C0A7F">
            <w:pPr>
              <w:rPr>
                <w:rFonts w:cs="Times"/>
                <w:i/>
                <w:sz w:val="20"/>
              </w:rPr>
            </w:pPr>
            <w:r w:rsidRPr="007A06CA">
              <w:rPr>
                <w:rFonts w:cs="Times"/>
                <w:i/>
                <w:sz w:val="20"/>
              </w:rPr>
              <w:t xml:space="preserve">Outcomes reflect what students should be able to demonstrate, know, or do by the end of the course. </w:t>
            </w:r>
          </w:p>
        </w:tc>
        <w:tc>
          <w:tcPr>
            <w:tcW w:w="2790" w:type="dxa"/>
          </w:tcPr>
          <w:p w14:paraId="3F3FC406" w14:textId="77777777" w:rsidR="0061104D" w:rsidRPr="007A06CA" w:rsidRDefault="0061104D" w:rsidP="002C0A7F">
            <w:pPr>
              <w:rPr>
                <w:rFonts w:cs="Times"/>
                <w:sz w:val="20"/>
              </w:rPr>
            </w:pPr>
            <w:r w:rsidRPr="007A06CA">
              <w:rPr>
                <w:rFonts w:cs="Times"/>
                <w:sz w:val="20"/>
              </w:rPr>
              <w:t xml:space="preserve">The outcomes are unclear and unspecific regarding what students should be able to demonstrate, know, or do by the end of the course. </w:t>
            </w:r>
          </w:p>
        </w:tc>
        <w:tc>
          <w:tcPr>
            <w:tcW w:w="2970" w:type="dxa"/>
          </w:tcPr>
          <w:p w14:paraId="0C4FE38A" w14:textId="77777777" w:rsidR="0061104D" w:rsidRPr="007A06CA" w:rsidRDefault="0061104D" w:rsidP="002C0A7F">
            <w:pPr>
              <w:rPr>
                <w:rFonts w:cs="Times"/>
                <w:sz w:val="20"/>
              </w:rPr>
            </w:pPr>
            <w:r w:rsidRPr="007A06CA">
              <w:rPr>
                <w:rFonts w:cs="Times"/>
                <w:sz w:val="20"/>
              </w:rPr>
              <w:t xml:space="preserve">The outcomes listed somewhat reflect what students should be able to demonstrate, know, or do by the end of the course, but could be more clear or specific. </w:t>
            </w:r>
          </w:p>
        </w:tc>
        <w:tc>
          <w:tcPr>
            <w:tcW w:w="3060" w:type="dxa"/>
          </w:tcPr>
          <w:p w14:paraId="6FD8D1F0" w14:textId="77777777" w:rsidR="0061104D" w:rsidRPr="007A06CA" w:rsidRDefault="0061104D" w:rsidP="002C0A7F">
            <w:pPr>
              <w:rPr>
                <w:rFonts w:cs="Times"/>
                <w:sz w:val="20"/>
              </w:rPr>
            </w:pPr>
            <w:r w:rsidRPr="007A06CA">
              <w:rPr>
                <w:rFonts w:cs="Times"/>
                <w:sz w:val="20"/>
              </w:rPr>
              <w:t xml:space="preserve">The outcomes clearly and specifically reflect what students should be able to demonstrate, know, or do by the end of the course. </w:t>
            </w:r>
          </w:p>
        </w:tc>
      </w:tr>
      <w:tr w:rsidR="0061104D" w:rsidRPr="007A06CA" w14:paraId="72261252" w14:textId="77777777" w:rsidTr="002C0A7F">
        <w:tc>
          <w:tcPr>
            <w:tcW w:w="2880" w:type="dxa"/>
            <w:vMerge/>
          </w:tcPr>
          <w:p w14:paraId="10EAFB2B" w14:textId="77777777" w:rsidR="0061104D" w:rsidRPr="007A06CA" w:rsidRDefault="0061104D" w:rsidP="002C0A7F">
            <w:pPr>
              <w:rPr>
                <w:rFonts w:cs="Times"/>
                <w:sz w:val="20"/>
              </w:rPr>
            </w:pPr>
          </w:p>
        </w:tc>
        <w:tc>
          <w:tcPr>
            <w:tcW w:w="2700" w:type="dxa"/>
          </w:tcPr>
          <w:p w14:paraId="21B2548C" w14:textId="77777777" w:rsidR="0061104D" w:rsidRPr="007A06CA" w:rsidRDefault="0061104D" w:rsidP="002C0A7F">
            <w:pPr>
              <w:rPr>
                <w:rFonts w:cs="Times"/>
                <w:i/>
                <w:sz w:val="20"/>
              </w:rPr>
            </w:pPr>
            <w:r w:rsidRPr="007A06CA">
              <w:rPr>
                <w:rFonts w:cs="Times"/>
                <w:i/>
                <w:sz w:val="20"/>
              </w:rPr>
              <w:t xml:space="preserve">One or more outcomes reflect the presence of a service project that enhances the academic learning of the course. </w:t>
            </w:r>
          </w:p>
        </w:tc>
        <w:tc>
          <w:tcPr>
            <w:tcW w:w="2790" w:type="dxa"/>
          </w:tcPr>
          <w:p w14:paraId="516253FA" w14:textId="77777777" w:rsidR="0061104D" w:rsidRPr="007A06CA" w:rsidRDefault="0061104D" w:rsidP="002C0A7F">
            <w:pPr>
              <w:rPr>
                <w:rFonts w:cs="Times"/>
                <w:sz w:val="20"/>
              </w:rPr>
            </w:pPr>
            <w:r w:rsidRPr="007A06CA">
              <w:rPr>
                <w:rFonts w:cs="Times"/>
                <w:sz w:val="20"/>
              </w:rPr>
              <w:t xml:space="preserve">There are outcomes listed but none of the outcomes reflect the presence of service in the class. </w:t>
            </w:r>
          </w:p>
        </w:tc>
        <w:tc>
          <w:tcPr>
            <w:tcW w:w="2970" w:type="dxa"/>
          </w:tcPr>
          <w:p w14:paraId="443C84D9" w14:textId="77777777" w:rsidR="0061104D" w:rsidRPr="007A06CA" w:rsidRDefault="0061104D" w:rsidP="002C0A7F">
            <w:pPr>
              <w:rPr>
                <w:rFonts w:cs="Times"/>
                <w:sz w:val="20"/>
              </w:rPr>
            </w:pPr>
            <w:r w:rsidRPr="007A06CA">
              <w:rPr>
                <w:rFonts w:cs="Times"/>
                <w:sz w:val="20"/>
              </w:rPr>
              <w:t>One or more of the learning outcomes reflects the presence of service in the class, but it is not evident that the service will enhance the academic learning.</w:t>
            </w:r>
          </w:p>
        </w:tc>
        <w:tc>
          <w:tcPr>
            <w:tcW w:w="3060" w:type="dxa"/>
          </w:tcPr>
          <w:p w14:paraId="60C1494E" w14:textId="77777777" w:rsidR="0061104D" w:rsidRPr="007A06CA" w:rsidRDefault="0061104D" w:rsidP="002C0A7F">
            <w:pPr>
              <w:rPr>
                <w:rFonts w:cs="Times"/>
                <w:sz w:val="20"/>
              </w:rPr>
            </w:pPr>
            <w:r w:rsidRPr="007A06CA">
              <w:rPr>
                <w:rFonts w:cs="Times"/>
                <w:sz w:val="20"/>
              </w:rPr>
              <w:t>One or more outcomes reflects the presence of service in the class, and it is clearly evident how the service will enhance the academic learning from the course.</w:t>
            </w:r>
          </w:p>
        </w:tc>
      </w:tr>
    </w:tbl>
    <w:tbl>
      <w:tblPr>
        <w:tblStyle w:val="TableGrid1"/>
        <w:tblW w:w="14395" w:type="dxa"/>
        <w:tblLook w:val="04A0" w:firstRow="1" w:lastRow="0" w:firstColumn="1" w:lastColumn="0" w:noHBand="0" w:noVBand="1"/>
      </w:tblPr>
      <w:tblGrid>
        <w:gridCol w:w="2875"/>
        <w:gridCol w:w="2700"/>
        <w:gridCol w:w="1440"/>
        <w:gridCol w:w="1350"/>
        <w:gridCol w:w="1170"/>
        <w:gridCol w:w="1800"/>
        <w:gridCol w:w="720"/>
        <w:gridCol w:w="2340"/>
      </w:tblGrid>
      <w:tr w:rsidR="0061104D" w:rsidRPr="007A06CA" w14:paraId="39D2FD9D" w14:textId="77777777" w:rsidTr="002C0A7F">
        <w:tc>
          <w:tcPr>
            <w:tcW w:w="2875" w:type="dxa"/>
            <w:tcBorders>
              <w:top w:val="nil"/>
              <w:bottom w:val="single" w:sz="4" w:space="0" w:color="auto"/>
            </w:tcBorders>
          </w:tcPr>
          <w:p w14:paraId="3999BD97" w14:textId="77777777" w:rsidR="0061104D" w:rsidRPr="007A06CA" w:rsidRDefault="0061104D" w:rsidP="002B39C9">
            <w:pPr>
              <w:numPr>
                <w:ilvl w:val="0"/>
                <w:numId w:val="6"/>
              </w:numPr>
              <w:contextualSpacing/>
              <w:rPr>
                <w:rFonts w:cs="Times"/>
                <w:b/>
                <w:sz w:val="20"/>
                <w:lang w:val="es-EC"/>
              </w:rPr>
            </w:pPr>
            <w:r w:rsidRPr="007A06CA">
              <w:rPr>
                <w:rFonts w:cs="Times"/>
                <w:b/>
                <w:sz w:val="20"/>
                <w:lang w:val="es-EC"/>
              </w:rPr>
              <w:t>Outcomes Address Civic Learning</w:t>
            </w:r>
          </w:p>
          <w:p w14:paraId="3067F0B6" w14:textId="77777777" w:rsidR="007A06CA" w:rsidRDefault="007A06CA" w:rsidP="002C0A7F">
            <w:pPr>
              <w:rPr>
                <w:rFonts w:cs="Times"/>
                <w:sz w:val="20"/>
              </w:rPr>
            </w:pPr>
          </w:p>
          <w:p w14:paraId="5A0B0F9D" w14:textId="6350DE2B" w:rsidR="0061104D" w:rsidRPr="007A06CA" w:rsidRDefault="0061104D" w:rsidP="002C0A7F">
            <w:pPr>
              <w:rPr>
                <w:rFonts w:cs="Times"/>
                <w:sz w:val="20"/>
              </w:rPr>
            </w:pPr>
            <w:r w:rsidRPr="007A06CA">
              <w:rPr>
                <w:rFonts w:cs="Times"/>
                <w:sz w:val="20"/>
              </w:rPr>
              <w:t xml:space="preserve">One or more of the student learning outcomes addresses civic learning. Civic learning involves the personalizing of the learning experience in light of the student’s role as a citizen, scholar, or professional. Civic learning can range in its level of intensity from a general focus on responsible citizenship to an emphasis on change-making. (This may be the same outcome </w:t>
            </w:r>
            <w:r w:rsidRPr="007A06CA">
              <w:rPr>
                <w:rFonts w:cs="Times"/>
                <w:sz w:val="20"/>
              </w:rPr>
              <w:lastRenderedPageBreak/>
              <w:t xml:space="preserve">or outcomes as those described in Standard 1. above.)  </w:t>
            </w:r>
          </w:p>
          <w:p w14:paraId="7562D7FE" w14:textId="77777777" w:rsidR="0061104D" w:rsidRPr="007A06CA" w:rsidRDefault="0061104D" w:rsidP="002C0A7F">
            <w:pPr>
              <w:rPr>
                <w:rFonts w:cs="Times"/>
                <w:sz w:val="20"/>
              </w:rPr>
            </w:pPr>
          </w:p>
        </w:tc>
        <w:tc>
          <w:tcPr>
            <w:tcW w:w="2700" w:type="dxa"/>
            <w:tcBorders>
              <w:top w:val="nil"/>
              <w:bottom w:val="single" w:sz="4" w:space="0" w:color="auto"/>
            </w:tcBorders>
          </w:tcPr>
          <w:p w14:paraId="6C0522EE" w14:textId="77777777" w:rsidR="0061104D" w:rsidRPr="007A06CA" w:rsidRDefault="0061104D" w:rsidP="002C0A7F">
            <w:pPr>
              <w:rPr>
                <w:rFonts w:cs="Times"/>
                <w:sz w:val="20"/>
              </w:rPr>
            </w:pPr>
            <w:r w:rsidRPr="007A06CA">
              <w:rPr>
                <w:rFonts w:cs="Times"/>
                <w:i/>
                <w:sz w:val="20"/>
              </w:rPr>
              <w:lastRenderedPageBreak/>
              <w:t>One or more outcomes involve the personalizing of the learning in light of the student’s role as a citizen, scholar, or professional.</w:t>
            </w:r>
            <w:r w:rsidRPr="007A06CA">
              <w:rPr>
                <w:rFonts w:cs="Times"/>
                <w:sz w:val="20"/>
              </w:rPr>
              <w:t xml:space="preserve"> </w:t>
            </w:r>
          </w:p>
          <w:p w14:paraId="1C1A07D0" w14:textId="77777777" w:rsidR="0061104D" w:rsidRPr="007A06CA" w:rsidRDefault="0061104D" w:rsidP="002C0A7F">
            <w:pPr>
              <w:rPr>
                <w:rFonts w:cs="Times"/>
                <w:sz w:val="20"/>
              </w:rPr>
            </w:pPr>
          </w:p>
        </w:tc>
        <w:tc>
          <w:tcPr>
            <w:tcW w:w="2790" w:type="dxa"/>
            <w:gridSpan w:val="2"/>
            <w:tcBorders>
              <w:top w:val="nil"/>
              <w:bottom w:val="single" w:sz="4" w:space="0" w:color="auto"/>
            </w:tcBorders>
          </w:tcPr>
          <w:p w14:paraId="2DAA7A13" w14:textId="77777777" w:rsidR="0061104D" w:rsidRPr="007A06CA" w:rsidRDefault="0061104D" w:rsidP="002C0A7F">
            <w:pPr>
              <w:rPr>
                <w:rFonts w:cs="Times"/>
                <w:sz w:val="20"/>
              </w:rPr>
            </w:pPr>
            <w:r w:rsidRPr="007A06CA">
              <w:rPr>
                <w:rFonts w:cs="Times"/>
                <w:sz w:val="20"/>
              </w:rPr>
              <w:t xml:space="preserve">The outcomes listed do not reflect the personalizing of the learning in light of the student’s role as a citizen, scholar, or professional. </w:t>
            </w:r>
          </w:p>
        </w:tc>
        <w:tc>
          <w:tcPr>
            <w:tcW w:w="2970" w:type="dxa"/>
            <w:gridSpan w:val="2"/>
            <w:tcBorders>
              <w:top w:val="nil"/>
              <w:bottom w:val="single" w:sz="4" w:space="0" w:color="auto"/>
            </w:tcBorders>
          </w:tcPr>
          <w:p w14:paraId="0019F7A2" w14:textId="77777777" w:rsidR="0061104D" w:rsidRPr="007A06CA" w:rsidRDefault="0061104D" w:rsidP="002C0A7F">
            <w:pPr>
              <w:rPr>
                <w:rFonts w:cs="Times"/>
                <w:sz w:val="20"/>
              </w:rPr>
            </w:pPr>
            <w:r w:rsidRPr="007A06CA">
              <w:rPr>
                <w:rFonts w:cs="Times"/>
                <w:sz w:val="20"/>
              </w:rPr>
              <w:t>One or more of the outcomes listed somewhat reflect the personalizing of the learning in light of the student’s role as a citizen, scholar.</w:t>
            </w:r>
          </w:p>
        </w:tc>
        <w:tc>
          <w:tcPr>
            <w:tcW w:w="3060" w:type="dxa"/>
            <w:gridSpan w:val="2"/>
            <w:tcBorders>
              <w:top w:val="nil"/>
              <w:bottom w:val="single" w:sz="4" w:space="0" w:color="auto"/>
            </w:tcBorders>
          </w:tcPr>
          <w:p w14:paraId="7F3DB553" w14:textId="77777777" w:rsidR="0061104D" w:rsidRPr="007A06CA" w:rsidRDefault="0061104D" w:rsidP="002C0A7F">
            <w:pPr>
              <w:rPr>
                <w:rFonts w:cs="Times"/>
                <w:sz w:val="20"/>
              </w:rPr>
            </w:pPr>
            <w:r w:rsidRPr="007A06CA">
              <w:rPr>
                <w:rFonts w:cs="Times"/>
                <w:sz w:val="20"/>
              </w:rPr>
              <w:t xml:space="preserve">One or more outcomes listed clearly and specifically reflect the personalizing of the learning in light of the student’s role as a citizen, scholar, or professional. </w:t>
            </w:r>
          </w:p>
          <w:p w14:paraId="7D62292F" w14:textId="77777777" w:rsidR="0061104D" w:rsidRPr="007A06CA" w:rsidRDefault="0061104D" w:rsidP="002C0A7F">
            <w:pPr>
              <w:rPr>
                <w:rFonts w:cs="Times"/>
                <w:sz w:val="20"/>
              </w:rPr>
            </w:pPr>
          </w:p>
        </w:tc>
      </w:tr>
      <w:tr w:rsidR="0061104D" w:rsidRPr="007A06CA" w14:paraId="5EDEC8B3" w14:textId="77777777" w:rsidTr="002C0A7F">
        <w:tc>
          <w:tcPr>
            <w:tcW w:w="2875" w:type="dxa"/>
            <w:tcBorders>
              <w:top w:val="single" w:sz="4" w:space="0" w:color="auto"/>
              <w:left w:val="nil"/>
              <w:bottom w:val="nil"/>
              <w:right w:val="nil"/>
            </w:tcBorders>
          </w:tcPr>
          <w:p w14:paraId="6E584E84" w14:textId="77777777" w:rsidR="0061104D" w:rsidRPr="007A06CA" w:rsidRDefault="0061104D" w:rsidP="002C0A7F">
            <w:pPr>
              <w:rPr>
                <w:rFonts w:cs="Times"/>
                <w:b/>
                <w:i/>
                <w:sz w:val="20"/>
              </w:rPr>
            </w:pPr>
          </w:p>
        </w:tc>
        <w:tc>
          <w:tcPr>
            <w:tcW w:w="2700" w:type="dxa"/>
            <w:tcBorders>
              <w:top w:val="single" w:sz="4" w:space="0" w:color="auto"/>
              <w:left w:val="nil"/>
              <w:bottom w:val="nil"/>
              <w:right w:val="nil"/>
            </w:tcBorders>
          </w:tcPr>
          <w:p w14:paraId="4CC92007" w14:textId="77777777" w:rsidR="0061104D" w:rsidRPr="007A06CA" w:rsidRDefault="0061104D" w:rsidP="002C0A7F">
            <w:pPr>
              <w:rPr>
                <w:rFonts w:cs="Times"/>
                <w:i/>
                <w:sz w:val="20"/>
              </w:rPr>
            </w:pPr>
          </w:p>
        </w:tc>
        <w:tc>
          <w:tcPr>
            <w:tcW w:w="1440" w:type="dxa"/>
            <w:tcBorders>
              <w:top w:val="single" w:sz="4" w:space="0" w:color="auto"/>
              <w:left w:val="nil"/>
              <w:bottom w:val="nil"/>
              <w:right w:val="nil"/>
            </w:tcBorders>
          </w:tcPr>
          <w:p w14:paraId="5ADE92F8" w14:textId="77777777" w:rsidR="0061104D" w:rsidRPr="007A06CA" w:rsidRDefault="0061104D" w:rsidP="002C0A7F">
            <w:pPr>
              <w:rPr>
                <w:rFonts w:cs="Times"/>
                <w:sz w:val="20"/>
              </w:rPr>
            </w:pPr>
          </w:p>
        </w:tc>
        <w:tc>
          <w:tcPr>
            <w:tcW w:w="2520" w:type="dxa"/>
            <w:gridSpan w:val="2"/>
            <w:tcBorders>
              <w:top w:val="single" w:sz="4" w:space="0" w:color="auto"/>
              <w:left w:val="nil"/>
              <w:bottom w:val="nil"/>
              <w:right w:val="nil"/>
            </w:tcBorders>
          </w:tcPr>
          <w:p w14:paraId="27B9198C" w14:textId="77777777" w:rsidR="0061104D" w:rsidRPr="007A06CA" w:rsidRDefault="0061104D" w:rsidP="002C0A7F">
            <w:pPr>
              <w:rPr>
                <w:rFonts w:cs="Times"/>
                <w:sz w:val="20"/>
              </w:rPr>
            </w:pPr>
          </w:p>
        </w:tc>
        <w:tc>
          <w:tcPr>
            <w:tcW w:w="2520" w:type="dxa"/>
            <w:gridSpan w:val="2"/>
            <w:tcBorders>
              <w:top w:val="single" w:sz="4" w:space="0" w:color="auto"/>
              <w:left w:val="nil"/>
              <w:bottom w:val="nil"/>
              <w:right w:val="nil"/>
            </w:tcBorders>
          </w:tcPr>
          <w:p w14:paraId="0315E774" w14:textId="77777777" w:rsidR="0061104D" w:rsidRPr="007A06CA" w:rsidRDefault="0061104D" w:rsidP="002C0A7F">
            <w:pPr>
              <w:rPr>
                <w:rFonts w:cs="Times"/>
                <w:sz w:val="20"/>
              </w:rPr>
            </w:pPr>
          </w:p>
        </w:tc>
        <w:tc>
          <w:tcPr>
            <w:tcW w:w="2340" w:type="dxa"/>
            <w:tcBorders>
              <w:top w:val="single" w:sz="4" w:space="0" w:color="auto"/>
              <w:left w:val="nil"/>
              <w:bottom w:val="nil"/>
              <w:right w:val="nil"/>
            </w:tcBorders>
          </w:tcPr>
          <w:p w14:paraId="7A5D0D93" w14:textId="77777777" w:rsidR="0061104D" w:rsidRPr="007A06CA" w:rsidRDefault="0061104D" w:rsidP="002C0A7F">
            <w:pPr>
              <w:rPr>
                <w:rFonts w:cs="Times"/>
                <w:sz w:val="20"/>
              </w:rPr>
            </w:pPr>
          </w:p>
        </w:tc>
      </w:tr>
      <w:tr w:rsidR="0061104D" w:rsidRPr="007A06CA" w14:paraId="44A5323C" w14:textId="77777777" w:rsidTr="002C0A7F">
        <w:tc>
          <w:tcPr>
            <w:tcW w:w="2875" w:type="dxa"/>
            <w:tcBorders>
              <w:top w:val="nil"/>
              <w:left w:val="nil"/>
              <w:bottom w:val="nil"/>
              <w:right w:val="nil"/>
            </w:tcBorders>
          </w:tcPr>
          <w:p w14:paraId="23C65505" w14:textId="77777777" w:rsidR="0061104D" w:rsidRPr="007A06CA" w:rsidRDefault="0061104D" w:rsidP="002C0A7F">
            <w:pPr>
              <w:rPr>
                <w:rFonts w:cs="Times"/>
                <w:b/>
                <w:i/>
                <w:sz w:val="20"/>
              </w:rPr>
            </w:pPr>
          </w:p>
        </w:tc>
        <w:tc>
          <w:tcPr>
            <w:tcW w:w="2700" w:type="dxa"/>
            <w:tcBorders>
              <w:top w:val="nil"/>
              <w:left w:val="nil"/>
              <w:bottom w:val="nil"/>
              <w:right w:val="nil"/>
            </w:tcBorders>
          </w:tcPr>
          <w:p w14:paraId="0AB85A11" w14:textId="77777777" w:rsidR="0061104D" w:rsidRPr="007A06CA" w:rsidRDefault="0061104D" w:rsidP="002C0A7F">
            <w:pPr>
              <w:rPr>
                <w:rFonts w:cs="Times"/>
                <w:i/>
                <w:sz w:val="20"/>
              </w:rPr>
            </w:pPr>
          </w:p>
        </w:tc>
        <w:tc>
          <w:tcPr>
            <w:tcW w:w="1440" w:type="dxa"/>
            <w:tcBorders>
              <w:top w:val="nil"/>
              <w:left w:val="nil"/>
              <w:bottom w:val="nil"/>
              <w:right w:val="nil"/>
            </w:tcBorders>
          </w:tcPr>
          <w:p w14:paraId="5D63E8F5" w14:textId="77777777" w:rsidR="0061104D" w:rsidRPr="007A06CA" w:rsidRDefault="0061104D" w:rsidP="002C0A7F">
            <w:pPr>
              <w:rPr>
                <w:rFonts w:cs="Times"/>
                <w:sz w:val="20"/>
              </w:rPr>
            </w:pPr>
          </w:p>
        </w:tc>
        <w:tc>
          <w:tcPr>
            <w:tcW w:w="2520" w:type="dxa"/>
            <w:gridSpan w:val="2"/>
            <w:tcBorders>
              <w:top w:val="nil"/>
              <w:left w:val="nil"/>
              <w:bottom w:val="nil"/>
              <w:right w:val="nil"/>
            </w:tcBorders>
          </w:tcPr>
          <w:p w14:paraId="5CECF457" w14:textId="77777777" w:rsidR="0061104D" w:rsidRPr="007A06CA" w:rsidRDefault="0061104D" w:rsidP="002C0A7F">
            <w:pPr>
              <w:rPr>
                <w:rFonts w:cs="Times"/>
                <w:sz w:val="20"/>
              </w:rPr>
            </w:pPr>
          </w:p>
        </w:tc>
        <w:tc>
          <w:tcPr>
            <w:tcW w:w="2520" w:type="dxa"/>
            <w:gridSpan w:val="2"/>
            <w:tcBorders>
              <w:top w:val="nil"/>
              <w:left w:val="nil"/>
              <w:bottom w:val="nil"/>
              <w:right w:val="nil"/>
            </w:tcBorders>
          </w:tcPr>
          <w:p w14:paraId="096698AF" w14:textId="77777777" w:rsidR="0061104D" w:rsidRPr="007A06CA" w:rsidRDefault="0061104D" w:rsidP="002C0A7F">
            <w:pPr>
              <w:rPr>
                <w:rFonts w:cs="Times"/>
                <w:sz w:val="20"/>
              </w:rPr>
            </w:pPr>
          </w:p>
        </w:tc>
        <w:tc>
          <w:tcPr>
            <w:tcW w:w="2340" w:type="dxa"/>
            <w:tcBorders>
              <w:top w:val="nil"/>
              <w:left w:val="nil"/>
              <w:bottom w:val="nil"/>
              <w:right w:val="single" w:sz="4" w:space="0" w:color="auto"/>
            </w:tcBorders>
          </w:tcPr>
          <w:p w14:paraId="3FFC1457" w14:textId="77777777" w:rsidR="0061104D" w:rsidRPr="007A06CA" w:rsidRDefault="0061104D" w:rsidP="002C0A7F">
            <w:pPr>
              <w:rPr>
                <w:rFonts w:cs="Times"/>
                <w:sz w:val="20"/>
              </w:rPr>
            </w:pPr>
          </w:p>
        </w:tc>
      </w:tr>
    </w:tbl>
    <w:tbl>
      <w:tblPr>
        <w:tblStyle w:val="TableGrid"/>
        <w:tblW w:w="14395" w:type="dxa"/>
        <w:tblInd w:w="-5" w:type="dxa"/>
        <w:tblLook w:val="04A0" w:firstRow="1" w:lastRow="0" w:firstColumn="1" w:lastColumn="0" w:noHBand="0" w:noVBand="1"/>
      </w:tblPr>
      <w:tblGrid>
        <w:gridCol w:w="2763"/>
        <w:gridCol w:w="2812"/>
        <w:gridCol w:w="2790"/>
        <w:gridCol w:w="2970"/>
        <w:gridCol w:w="3060"/>
      </w:tblGrid>
      <w:tr w:rsidR="0061104D" w:rsidRPr="007A06CA" w14:paraId="2679DCB0" w14:textId="77777777" w:rsidTr="002C0A7F">
        <w:tc>
          <w:tcPr>
            <w:tcW w:w="2763" w:type="dxa"/>
            <w:tcBorders>
              <w:bottom w:val="single" w:sz="4" w:space="0" w:color="auto"/>
            </w:tcBorders>
          </w:tcPr>
          <w:p w14:paraId="1084FF77" w14:textId="185DA4DB" w:rsidR="0061104D" w:rsidRPr="007A06CA" w:rsidRDefault="0061104D" w:rsidP="002C0A7F">
            <w:pPr>
              <w:rPr>
                <w:rFonts w:cs="Times"/>
                <w:b/>
                <w:sz w:val="20"/>
              </w:rPr>
            </w:pPr>
            <w:r w:rsidRPr="007A06CA">
              <w:rPr>
                <w:rFonts w:cs="Times"/>
                <w:b/>
                <w:sz w:val="20"/>
              </w:rPr>
              <w:t xml:space="preserve">Designation Standard </w:t>
            </w:r>
            <w:r w:rsidR="007A06CA" w:rsidRPr="007A06CA">
              <w:rPr>
                <w:rFonts w:cs="Times"/>
                <w:b/>
                <w:sz w:val="20"/>
              </w:rPr>
              <w:t>#</w:t>
            </w:r>
            <w:r w:rsidR="007A06CA">
              <w:rPr>
                <w:rFonts w:cs="Times"/>
                <w:b/>
                <w:sz w:val="20"/>
              </w:rPr>
              <w:t>3</w:t>
            </w:r>
          </w:p>
          <w:p w14:paraId="59493FA3" w14:textId="77777777" w:rsidR="0061104D" w:rsidRPr="007A06CA" w:rsidRDefault="0061104D" w:rsidP="002C0A7F">
            <w:pPr>
              <w:rPr>
                <w:rFonts w:cs="Times"/>
                <w:b/>
                <w:sz w:val="20"/>
              </w:rPr>
            </w:pPr>
          </w:p>
        </w:tc>
        <w:tc>
          <w:tcPr>
            <w:tcW w:w="2812" w:type="dxa"/>
            <w:tcBorders>
              <w:bottom w:val="single" w:sz="4" w:space="0" w:color="auto"/>
            </w:tcBorders>
          </w:tcPr>
          <w:p w14:paraId="6A1B2E06" w14:textId="77777777" w:rsidR="0061104D" w:rsidRPr="007A06CA" w:rsidRDefault="0061104D" w:rsidP="002C0A7F">
            <w:pPr>
              <w:rPr>
                <w:rFonts w:cs="Times"/>
                <w:b/>
                <w:sz w:val="20"/>
              </w:rPr>
            </w:pPr>
            <w:r w:rsidRPr="007A06CA">
              <w:rPr>
                <w:rFonts w:cs="Times"/>
                <w:b/>
                <w:sz w:val="20"/>
              </w:rPr>
              <w:t>Components of Standard</w:t>
            </w:r>
          </w:p>
        </w:tc>
        <w:tc>
          <w:tcPr>
            <w:tcW w:w="2790" w:type="dxa"/>
            <w:tcBorders>
              <w:bottom w:val="single" w:sz="4" w:space="0" w:color="auto"/>
            </w:tcBorders>
          </w:tcPr>
          <w:p w14:paraId="2FC185E8" w14:textId="77777777" w:rsidR="0061104D" w:rsidRPr="007A06CA" w:rsidRDefault="0061104D" w:rsidP="002C0A7F">
            <w:pPr>
              <w:rPr>
                <w:rFonts w:cs="Times"/>
                <w:b/>
                <w:sz w:val="20"/>
              </w:rPr>
            </w:pPr>
            <w:r w:rsidRPr="007A06CA">
              <w:rPr>
                <w:rFonts w:cs="Times"/>
                <w:b/>
                <w:sz w:val="20"/>
              </w:rPr>
              <w:t>0 (lowest)</w:t>
            </w:r>
          </w:p>
        </w:tc>
        <w:tc>
          <w:tcPr>
            <w:tcW w:w="2970" w:type="dxa"/>
            <w:tcBorders>
              <w:bottom w:val="single" w:sz="4" w:space="0" w:color="auto"/>
            </w:tcBorders>
          </w:tcPr>
          <w:p w14:paraId="2E3AD413" w14:textId="77777777" w:rsidR="0061104D" w:rsidRPr="007A06CA" w:rsidRDefault="0061104D" w:rsidP="002C0A7F">
            <w:pPr>
              <w:rPr>
                <w:rFonts w:cs="Times"/>
                <w:b/>
                <w:sz w:val="20"/>
              </w:rPr>
            </w:pPr>
            <w:r w:rsidRPr="007A06CA">
              <w:rPr>
                <w:rFonts w:cs="Times"/>
                <w:b/>
                <w:sz w:val="20"/>
              </w:rPr>
              <w:t>1</w:t>
            </w:r>
          </w:p>
        </w:tc>
        <w:tc>
          <w:tcPr>
            <w:tcW w:w="3060" w:type="dxa"/>
            <w:tcBorders>
              <w:bottom w:val="single" w:sz="4" w:space="0" w:color="auto"/>
            </w:tcBorders>
          </w:tcPr>
          <w:p w14:paraId="21E6989F" w14:textId="77777777" w:rsidR="0061104D" w:rsidRPr="007A06CA" w:rsidRDefault="0061104D" w:rsidP="002C0A7F">
            <w:pPr>
              <w:rPr>
                <w:rFonts w:cs="Times"/>
                <w:b/>
                <w:sz w:val="20"/>
              </w:rPr>
            </w:pPr>
            <w:r w:rsidRPr="007A06CA">
              <w:rPr>
                <w:rFonts w:cs="Times"/>
                <w:b/>
                <w:sz w:val="20"/>
              </w:rPr>
              <w:t>2 (highest)</w:t>
            </w:r>
          </w:p>
        </w:tc>
      </w:tr>
      <w:tr w:rsidR="0061104D" w:rsidRPr="007A06CA" w14:paraId="0E0FC93B" w14:textId="77777777" w:rsidTr="002C0A7F">
        <w:trPr>
          <w:trHeight w:val="2870"/>
        </w:trPr>
        <w:tc>
          <w:tcPr>
            <w:tcW w:w="2763" w:type="dxa"/>
            <w:vMerge w:val="restart"/>
          </w:tcPr>
          <w:p w14:paraId="2C140602" w14:textId="7DB96E3B" w:rsidR="0061104D" w:rsidRPr="007A06CA" w:rsidRDefault="007A06CA" w:rsidP="002B39C9">
            <w:pPr>
              <w:pStyle w:val="ListParagraph"/>
              <w:numPr>
                <w:ilvl w:val="0"/>
                <w:numId w:val="6"/>
              </w:numPr>
              <w:rPr>
                <w:rFonts w:cs="Times"/>
                <w:b/>
                <w:sz w:val="20"/>
              </w:rPr>
            </w:pPr>
            <w:r>
              <w:rPr>
                <w:rFonts w:cs="Times"/>
                <w:b/>
                <w:sz w:val="20"/>
              </w:rPr>
              <w:t xml:space="preserve">The </w:t>
            </w:r>
            <w:r w:rsidR="0061104D" w:rsidRPr="007A06CA">
              <w:rPr>
                <w:rFonts w:cs="Times"/>
                <w:b/>
                <w:sz w:val="20"/>
              </w:rPr>
              <w:t>Service Project is Mutually Beneficial</w:t>
            </w:r>
          </w:p>
          <w:p w14:paraId="7A102DA9" w14:textId="77777777" w:rsidR="007A06CA" w:rsidRDefault="007A06CA" w:rsidP="002C0A7F">
            <w:pPr>
              <w:rPr>
                <w:rFonts w:cs="Times"/>
                <w:bCs/>
                <w:sz w:val="20"/>
              </w:rPr>
            </w:pPr>
          </w:p>
          <w:p w14:paraId="17374BCD" w14:textId="5D35F54B" w:rsidR="0061104D" w:rsidRPr="007A06CA" w:rsidRDefault="0061104D" w:rsidP="002C0A7F">
            <w:pPr>
              <w:rPr>
                <w:rFonts w:cs="Times"/>
                <w:bCs/>
                <w:sz w:val="20"/>
              </w:rPr>
            </w:pPr>
            <w:r w:rsidRPr="007A06CA">
              <w:rPr>
                <w:rFonts w:cs="Times"/>
                <w:bCs/>
                <w:sz w:val="20"/>
              </w:rPr>
              <w:t>The service project design reflects mutual benefit between community and university partners such that it is meaningful to the community partner and relevant to the course. The service project includes significant student-community interaction. If students are charged with identifying a service project with a community partner themselves there is guidance and oversight from the instructor.  The roles and responsibilities of all involved in the service project have been clarified.</w:t>
            </w:r>
          </w:p>
          <w:p w14:paraId="3F63BF7B" w14:textId="77777777" w:rsidR="0061104D" w:rsidRPr="007A06CA" w:rsidRDefault="0061104D" w:rsidP="002C0A7F">
            <w:pPr>
              <w:rPr>
                <w:rFonts w:cs="Times"/>
                <w:b/>
                <w:sz w:val="20"/>
              </w:rPr>
            </w:pPr>
          </w:p>
        </w:tc>
        <w:tc>
          <w:tcPr>
            <w:tcW w:w="2812" w:type="dxa"/>
            <w:tcBorders>
              <w:bottom w:val="single" w:sz="4" w:space="0" w:color="auto"/>
            </w:tcBorders>
          </w:tcPr>
          <w:p w14:paraId="70B59A83" w14:textId="77777777" w:rsidR="0061104D" w:rsidRPr="007A06CA" w:rsidRDefault="0061104D" w:rsidP="002C0A7F">
            <w:pPr>
              <w:rPr>
                <w:rFonts w:cs="Times"/>
                <w:i/>
                <w:sz w:val="20"/>
              </w:rPr>
            </w:pPr>
            <w:r w:rsidRPr="007A06CA">
              <w:rPr>
                <w:rFonts w:cs="Times"/>
                <w:bCs/>
                <w:i/>
                <w:sz w:val="20"/>
              </w:rPr>
              <w:t xml:space="preserve">The service project design reflects mutual benefit between community and university partners such that it is meaningful to the community partner and relevant to the course. The roles and responsibilities of all involved are clear. </w:t>
            </w:r>
          </w:p>
        </w:tc>
        <w:tc>
          <w:tcPr>
            <w:tcW w:w="2790" w:type="dxa"/>
          </w:tcPr>
          <w:p w14:paraId="01F582B6" w14:textId="77777777" w:rsidR="0061104D" w:rsidRPr="007A06CA" w:rsidRDefault="0061104D" w:rsidP="002C0A7F">
            <w:pPr>
              <w:rPr>
                <w:rFonts w:cs="Times"/>
                <w:sz w:val="20"/>
              </w:rPr>
            </w:pPr>
            <w:r w:rsidRPr="007A06CA">
              <w:rPr>
                <w:rFonts w:cs="Times"/>
                <w:sz w:val="20"/>
              </w:rPr>
              <w:t>The application does not reflect mutual benefit to those involved.  If students are expected to identify their own service projects there is no instructor guidance or oversight of this process.</w:t>
            </w:r>
          </w:p>
        </w:tc>
        <w:tc>
          <w:tcPr>
            <w:tcW w:w="2970" w:type="dxa"/>
          </w:tcPr>
          <w:p w14:paraId="42A441FB" w14:textId="77777777" w:rsidR="0061104D" w:rsidRPr="007A06CA" w:rsidRDefault="0061104D" w:rsidP="002C0A7F">
            <w:pPr>
              <w:rPr>
                <w:rFonts w:cs="Times"/>
                <w:sz w:val="20"/>
              </w:rPr>
            </w:pPr>
            <w:r w:rsidRPr="007A06CA">
              <w:rPr>
                <w:rFonts w:cs="Times"/>
                <w:sz w:val="20"/>
              </w:rPr>
              <w:t>The application includes information about the service project design but is unclear how the project is meaningful to the community partner and/or relevant to the course. If students are expected to identify their own service projects there is insufficient instructor guidance or oversight of this process.</w:t>
            </w:r>
          </w:p>
        </w:tc>
        <w:tc>
          <w:tcPr>
            <w:tcW w:w="3060" w:type="dxa"/>
          </w:tcPr>
          <w:p w14:paraId="32840710" w14:textId="77777777" w:rsidR="0061104D" w:rsidRPr="007A06CA" w:rsidRDefault="0061104D" w:rsidP="002C0A7F">
            <w:pPr>
              <w:rPr>
                <w:rFonts w:cs="Times"/>
                <w:sz w:val="20"/>
              </w:rPr>
            </w:pPr>
            <w:r w:rsidRPr="007A06CA">
              <w:rPr>
                <w:rFonts w:cs="Times"/>
                <w:sz w:val="20"/>
              </w:rPr>
              <w:t>The application includes information about the service project design and it is clearly of mutual benefit to all involved. The application clearly addresses how the service project will be meaningful to the community partner and relevant to the course. If students are charged with identifying a service project with a community partner themselves there is guidance and oversight from the instructor. The expectations of all involved are clarified in the service project design.</w:t>
            </w:r>
          </w:p>
        </w:tc>
      </w:tr>
      <w:tr w:rsidR="0061104D" w:rsidRPr="007A06CA" w14:paraId="24444330" w14:textId="77777777" w:rsidTr="002C0A7F">
        <w:trPr>
          <w:trHeight w:val="2870"/>
        </w:trPr>
        <w:tc>
          <w:tcPr>
            <w:tcW w:w="2763" w:type="dxa"/>
            <w:vMerge/>
          </w:tcPr>
          <w:p w14:paraId="0EA79CCD" w14:textId="77777777" w:rsidR="0061104D" w:rsidRPr="007A06CA" w:rsidRDefault="0061104D" w:rsidP="002C0A7F">
            <w:pPr>
              <w:rPr>
                <w:rFonts w:cs="Times"/>
                <w:b/>
                <w:i/>
                <w:sz w:val="20"/>
              </w:rPr>
            </w:pPr>
          </w:p>
        </w:tc>
        <w:tc>
          <w:tcPr>
            <w:tcW w:w="2812" w:type="dxa"/>
          </w:tcPr>
          <w:p w14:paraId="4F371912" w14:textId="77777777" w:rsidR="0061104D" w:rsidRPr="007A06CA" w:rsidRDefault="0061104D" w:rsidP="002C0A7F">
            <w:pPr>
              <w:rPr>
                <w:rFonts w:cs="Times"/>
                <w:i/>
                <w:sz w:val="20"/>
              </w:rPr>
            </w:pPr>
            <w:r w:rsidRPr="007A06CA">
              <w:rPr>
                <w:rFonts w:cs="Times"/>
                <w:i/>
                <w:sz w:val="20"/>
              </w:rPr>
              <w:t>The service project includes significant student-community interaction.</w:t>
            </w:r>
          </w:p>
        </w:tc>
        <w:tc>
          <w:tcPr>
            <w:tcW w:w="2790" w:type="dxa"/>
          </w:tcPr>
          <w:p w14:paraId="0FC9B503" w14:textId="77777777" w:rsidR="0061104D" w:rsidRPr="007A06CA" w:rsidRDefault="0061104D" w:rsidP="002C0A7F">
            <w:pPr>
              <w:rPr>
                <w:rFonts w:cs="Times"/>
                <w:sz w:val="20"/>
              </w:rPr>
            </w:pPr>
            <w:r w:rsidRPr="007A06CA">
              <w:rPr>
                <w:rFonts w:cs="Times"/>
                <w:sz w:val="20"/>
              </w:rPr>
              <w:t xml:space="preserve">The application does not include information regarding student interaction with the community, and it is unclear how the service project will reflect significant student-community interaction. </w:t>
            </w:r>
          </w:p>
          <w:p w14:paraId="4831F607" w14:textId="77777777" w:rsidR="0061104D" w:rsidRPr="007A06CA" w:rsidRDefault="0061104D" w:rsidP="002C0A7F">
            <w:pPr>
              <w:rPr>
                <w:rFonts w:cs="Times"/>
                <w:sz w:val="20"/>
              </w:rPr>
            </w:pPr>
          </w:p>
          <w:p w14:paraId="3FB83E63" w14:textId="77777777" w:rsidR="0061104D" w:rsidRPr="007A06CA" w:rsidRDefault="0061104D" w:rsidP="002C0A7F">
            <w:pPr>
              <w:rPr>
                <w:rFonts w:cs="Times"/>
                <w:sz w:val="20"/>
              </w:rPr>
            </w:pPr>
          </w:p>
        </w:tc>
        <w:tc>
          <w:tcPr>
            <w:tcW w:w="2970" w:type="dxa"/>
          </w:tcPr>
          <w:p w14:paraId="1A3E3F9F" w14:textId="77777777" w:rsidR="0061104D" w:rsidRPr="007A06CA" w:rsidRDefault="0061104D" w:rsidP="002C0A7F">
            <w:pPr>
              <w:rPr>
                <w:rFonts w:cs="Times"/>
                <w:sz w:val="20"/>
              </w:rPr>
            </w:pPr>
            <w:r w:rsidRPr="007A06CA">
              <w:rPr>
                <w:rFonts w:cs="Times"/>
                <w:sz w:val="20"/>
              </w:rPr>
              <w:t xml:space="preserve">The application reflects some level of student-community interaction, but based on the information provided the level of interaction should be greater.  </w:t>
            </w:r>
          </w:p>
          <w:p w14:paraId="611B8090" w14:textId="77777777" w:rsidR="0061104D" w:rsidRPr="007A06CA" w:rsidRDefault="0061104D" w:rsidP="002C0A7F">
            <w:pPr>
              <w:rPr>
                <w:rFonts w:cs="Times"/>
                <w:sz w:val="20"/>
              </w:rPr>
            </w:pPr>
          </w:p>
        </w:tc>
        <w:tc>
          <w:tcPr>
            <w:tcW w:w="3060" w:type="dxa"/>
          </w:tcPr>
          <w:p w14:paraId="7720114A" w14:textId="77777777" w:rsidR="0061104D" w:rsidRPr="007A06CA" w:rsidRDefault="0061104D" w:rsidP="002C0A7F">
            <w:pPr>
              <w:rPr>
                <w:rFonts w:cs="Times"/>
                <w:sz w:val="20"/>
              </w:rPr>
            </w:pPr>
            <w:r w:rsidRPr="007A06CA">
              <w:rPr>
                <w:rFonts w:cs="Times"/>
                <w:sz w:val="20"/>
              </w:rPr>
              <w:t xml:space="preserve">The application adequately explains and reflects how required service comprises significant community interaction.   </w:t>
            </w:r>
          </w:p>
        </w:tc>
      </w:tr>
      <w:tr w:rsidR="0061104D" w:rsidRPr="007A06CA" w14:paraId="18AACF73" w14:textId="77777777" w:rsidTr="002C0A7F">
        <w:tc>
          <w:tcPr>
            <w:tcW w:w="2763" w:type="dxa"/>
            <w:tcBorders>
              <w:top w:val="single" w:sz="4" w:space="0" w:color="auto"/>
              <w:left w:val="nil"/>
              <w:bottom w:val="nil"/>
              <w:right w:val="nil"/>
            </w:tcBorders>
          </w:tcPr>
          <w:p w14:paraId="69D2534A" w14:textId="77777777" w:rsidR="0061104D" w:rsidRPr="007A06CA" w:rsidRDefault="0061104D" w:rsidP="002C0A7F">
            <w:pPr>
              <w:rPr>
                <w:rFonts w:cs="Times"/>
                <w:b/>
                <w:i/>
                <w:sz w:val="20"/>
              </w:rPr>
            </w:pPr>
          </w:p>
        </w:tc>
        <w:tc>
          <w:tcPr>
            <w:tcW w:w="2812" w:type="dxa"/>
            <w:tcBorders>
              <w:top w:val="single" w:sz="4" w:space="0" w:color="auto"/>
              <w:left w:val="nil"/>
              <w:bottom w:val="nil"/>
              <w:right w:val="nil"/>
            </w:tcBorders>
          </w:tcPr>
          <w:p w14:paraId="44D22954" w14:textId="77777777" w:rsidR="0061104D" w:rsidRPr="007A06CA" w:rsidRDefault="0061104D" w:rsidP="002C0A7F">
            <w:pPr>
              <w:rPr>
                <w:rFonts w:cs="Times"/>
                <w:i/>
                <w:sz w:val="20"/>
              </w:rPr>
            </w:pPr>
          </w:p>
        </w:tc>
        <w:tc>
          <w:tcPr>
            <w:tcW w:w="2790" w:type="dxa"/>
            <w:tcBorders>
              <w:top w:val="single" w:sz="4" w:space="0" w:color="auto"/>
              <w:left w:val="nil"/>
              <w:bottom w:val="nil"/>
              <w:right w:val="nil"/>
            </w:tcBorders>
          </w:tcPr>
          <w:p w14:paraId="4D88677D" w14:textId="77777777" w:rsidR="0061104D" w:rsidRPr="007A06CA" w:rsidRDefault="0061104D" w:rsidP="002C0A7F">
            <w:pPr>
              <w:rPr>
                <w:rFonts w:cs="Times"/>
                <w:sz w:val="20"/>
              </w:rPr>
            </w:pPr>
          </w:p>
        </w:tc>
        <w:tc>
          <w:tcPr>
            <w:tcW w:w="2970" w:type="dxa"/>
            <w:tcBorders>
              <w:top w:val="single" w:sz="4" w:space="0" w:color="auto"/>
              <w:left w:val="nil"/>
              <w:bottom w:val="nil"/>
              <w:right w:val="nil"/>
            </w:tcBorders>
          </w:tcPr>
          <w:p w14:paraId="04F6F670" w14:textId="77777777" w:rsidR="0061104D" w:rsidRPr="007A06CA" w:rsidRDefault="0061104D" w:rsidP="002C0A7F">
            <w:pPr>
              <w:rPr>
                <w:rFonts w:cs="Times"/>
                <w:sz w:val="20"/>
              </w:rPr>
            </w:pPr>
          </w:p>
        </w:tc>
        <w:tc>
          <w:tcPr>
            <w:tcW w:w="3060" w:type="dxa"/>
            <w:tcBorders>
              <w:top w:val="single" w:sz="4" w:space="0" w:color="auto"/>
              <w:left w:val="nil"/>
              <w:bottom w:val="nil"/>
              <w:right w:val="nil"/>
            </w:tcBorders>
          </w:tcPr>
          <w:p w14:paraId="1158D9DE" w14:textId="77777777" w:rsidR="0061104D" w:rsidRPr="007A06CA" w:rsidRDefault="0061104D" w:rsidP="002C0A7F">
            <w:pPr>
              <w:rPr>
                <w:rFonts w:cs="Times"/>
                <w:sz w:val="20"/>
              </w:rPr>
            </w:pPr>
          </w:p>
        </w:tc>
      </w:tr>
      <w:tr w:rsidR="0061104D" w:rsidRPr="007A06CA" w14:paraId="544E553C" w14:textId="77777777" w:rsidTr="002C0A7F">
        <w:tc>
          <w:tcPr>
            <w:tcW w:w="2763" w:type="dxa"/>
            <w:tcBorders>
              <w:top w:val="nil"/>
              <w:left w:val="nil"/>
              <w:bottom w:val="nil"/>
              <w:right w:val="nil"/>
            </w:tcBorders>
          </w:tcPr>
          <w:p w14:paraId="6BE53249" w14:textId="77777777" w:rsidR="0061104D" w:rsidRPr="007A06CA" w:rsidRDefault="0061104D" w:rsidP="002C0A7F">
            <w:pPr>
              <w:rPr>
                <w:rFonts w:cs="Times"/>
                <w:b/>
                <w:i/>
                <w:sz w:val="20"/>
              </w:rPr>
            </w:pPr>
          </w:p>
        </w:tc>
        <w:tc>
          <w:tcPr>
            <w:tcW w:w="2812" w:type="dxa"/>
            <w:tcBorders>
              <w:top w:val="nil"/>
              <w:left w:val="nil"/>
              <w:bottom w:val="nil"/>
              <w:right w:val="nil"/>
            </w:tcBorders>
          </w:tcPr>
          <w:p w14:paraId="52C70D9C" w14:textId="77777777" w:rsidR="0061104D" w:rsidRPr="007A06CA" w:rsidRDefault="0061104D" w:rsidP="002C0A7F">
            <w:pPr>
              <w:rPr>
                <w:rFonts w:cs="Times"/>
                <w:i/>
                <w:sz w:val="20"/>
              </w:rPr>
            </w:pPr>
          </w:p>
        </w:tc>
        <w:tc>
          <w:tcPr>
            <w:tcW w:w="2790" w:type="dxa"/>
            <w:tcBorders>
              <w:top w:val="nil"/>
              <w:left w:val="nil"/>
              <w:bottom w:val="nil"/>
              <w:right w:val="nil"/>
            </w:tcBorders>
          </w:tcPr>
          <w:p w14:paraId="3961F383" w14:textId="77777777" w:rsidR="0061104D" w:rsidRPr="007A06CA" w:rsidRDefault="0061104D" w:rsidP="002C0A7F">
            <w:pPr>
              <w:rPr>
                <w:rFonts w:cs="Times"/>
                <w:sz w:val="20"/>
              </w:rPr>
            </w:pPr>
          </w:p>
        </w:tc>
        <w:tc>
          <w:tcPr>
            <w:tcW w:w="2970" w:type="dxa"/>
            <w:tcBorders>
              <w:top w:val="nil"/>
              <w:left w:val="nil"/>
              <w:bottom w:val="nil"/>
              <w:right w:val="nil"/>
            </w:tcBorders>
          </w:tcPr>
          <w:p w14:paraId="7DC7BA42" w14:textId="77777777" w:rsidR="0061104D" w:rsidRPr="007A06CA" w:rsidRDefault="0061104D" w:rsidP="002C0A7F">
            <w:pPr>
              <w:rPr>
                <w:rFonts w:cs="Times"/>
                <w:sz w:val="20"/>
              </w:rPr>
            </w:pPr>
          </w:p>
        </w:tc>
        <w:tc>
          <w:tcPr>
            <w:tcW w:w="3060" w:type="dxa"/>
            <w:tcBorders>
              <w:top w:val="nil"/>
              <w:left w:val="nil"/>
              <w:bottom w:val="nil"/>
              <w:right w:val="single" w:sz="4" w:space="0" w:color="auto"/>
            </w:tcBorders>
          </w:tcPr>
          <w:p w14:paraId="724175BA" w14:textId="77777777" w:rsidR="0061104D" w:rsidRPr="007A06CA" w:rsidRDefault="0061104D" w:rsidP="002C0A7F">
            <w:pPr>
              <w:rPr>
                <w:rFonts w:cs="Times"/>
                <w:sz w:val="20"/>
              </w:rPr>
            </w:pPr>
          </w:p>
        </w:tc>
      </w:tr>
    </w:tbl>
    <w:p w14:paraId="5C28B197" w14:textId="77777777" w:rsidR="0061104D" w:rsidRPr="007A06CA" w:rsidRDefault="0061104D" w:rsidP="0061104D">
      <w:pPr>
        <w:rPr>
          <w:rFonts w:cs="Times"/>
          <w:sz w:val="20"/>
        </w:rPr>
      </w:pPr>
      <w:r w:rsidRPr="007A06CA">
        <w:rPr>
          <w:rFonts w:cs="Times"/>
          <w:sz w:val="20"/>
        </w:rPr>
        <w:br w:type="page"/>
      </w:r>
    </w:p>
    <w:tbl>
      <w:tblPr>
        <w:tblStyle w:val="TableGrid"/>
        <w:tblW w:w="14395" w:type="dxa"/>
        <w:tblLook w:val="04A0" w:firstRow="1" w:lastRow="0" w:firstColumn="1" w:lastColumn="0" w:noHBand="0" w:noVBand="1"/>
      </w:tblPr>
      <w:tblGrid>
        <w:gridCol w:w="2784"/>
        <w:gridCol w:w="2071"/>
        <w:gridCol w:w="2160"/>
        <w:gridCol w:w="1350"/>
        <w:gridCol w:w="1170"/>
        <w:gridCol w:w="1800"/>
        <w:gridCol w:w="720"/>
        <w:gridCol w:w="2340"/>
      </w:tblGrid>
      <w:tr w:rsidR="0061104D" w:rsidRPr="007A06CA" w14:paraId="60E1F1A5" w14:textId="77777777" w:rsidTr="002C0A7F">
        <w:tc>
          <w:tcPr>
            <w:tcW w:w="2784" w:type="dxa"/>
            <w:tcBorders>
              <w:bottom w:val="single" w:sz="4" w:space="0" w:color="auto"/>
            </w:tcBorders>
          </w:tcPr>
          <w:p w14:paraId="2031E30C" w14:textId="274D6500" w:rsidR="0061104D" w:rsidRPr="007A06CA" w:rsidRDefault="0061104D" w:rsidP="002C0A7F">
            <w:pPr>
              <w:rPr>
                <w:rFonts w:cs="Times"/>
                <w:b/>
                <w:sz w:val="20"/>
              </w:rPr>
            </w:pPr>
            <w:r w:rsidRPr="007A06CA">
              <w:rPr>
                <w:rFonts w:cs="Times"/>
                <w:b/>
                <w:sz w:val="20"/>
              </w:rPr>
              <w:lastRenderedPageBreak/>
              <w:t>Designation Standard</w:t>
            </w:r>
            <w:r w:rsidR="007A06CA" w:rsidRPr="007A06CA">
              <w:rPr>
                <w:rFonts w:cs="Times"/>
                <w:b/>
                <w:sz w:val="20"/>
              </w:rPr>
              <w:t xml:space="preserve"> #</w:t>
            </w:r>
            <w:r w:rsidR="007A06CA">
              <w:rPr>
                <w:rFonts w:cs="Times"/>
                <w:b/>
                <w:sz w:val="20"/>
              </w:rPr>
              <w:t>4</w:t>
            </w:r>
          </w:p>
        </w:tc>
        <w:tc>
          <w:tcPr>
            <w:tcW w:w="2071" w:type="dxa"/>
            <w:tcBorders>
              <w:bottom w:val="single" w:sz="4" w:space="0" w:color="auto"/>
            </w:tcBorders>
          </w:tcPr>
          <w:p w14:paraId="34DFFA22" w14:textId="77777777" w:rsidR="0061104D" w:rsidRPr="007A06CA" w:rsidRDefault="0061104D" w:rsidP="002C0A7F">
            <w:pPr>
              <w:rPr>
                <w:rFonts w:cs="Times"/>
                <w:b/>
                <w:sz w:val="20"/>
              </w:rPr>
            </w:pPr>
            <w:r w:rsidRPr="007A06CA">
              <w:rPr>
                <w:rFonts w:cs="Times"/>
                <w:b/>
                <w:sz w:val="20"/>
              </w:rPr>
              <w:t>Components of Standard</w:t>
            </w:r>
          </w:p>
        </w:tc>
        <w:tc>
          <w:tcPr>
            <w:tcW w:w="3510" w:type="dxa"/>
            <w:gridSpan w:val="2"/>
            <w:tcBorders>
              <w:bottom w:val="single" w:sz="4" w:space="0" w:color="auto"/>
            </w:tcBorders>
          </w:tcPr>
          <w:p w14:paraId="0F8BBBBA" w14:textId="77777777" w:rsidR="0061104D" w:rsidRPr="007A06CA" w:rsidRDefault="0061104D" w:rsidP="002C0A7F">
            <w:pPr>
              <w:rPr>
                <w:rFonts w:cs="Times"/>
                <w:b/>
                <w:sz w:val="20"/>
              </w:rPr>
            </w:pPr>
            <w:r w:rsidRPr="007A06CA">
              <w:rPr>
                <w:rFonts w:cs="Times"/>
                <w:b/>
                <w:sz w:val="20"/>
              </w:rPr>
              <w:t>0 (lowest)</w:t>
            </w:r>
          </w:p>
        </w:tc>
        <w:tc>
          <w:tcPr>
            <w:tcW w:w="2970" w:type="dxa"/>
            <w:gridSpan w:val="2"/>
            <w:tcBorders>
              <w:bottom w:val="single" w:sz="4" w:space="0" w:color="auto"/>
            </w:tcBorders>
          </w:tcPr>
          <w:p w14:paraId="7EAD8C15" w14:textId="77777777" w:rsidR="0061104D" w:rsidRPr="007A06CA" w:rsidRDefault="0061104D" w:rsidP="002C0A7F">
            <w:pPr>
              <w:rPr>
                <w:rFonts w:cs="Times"/>
                <w:b/>
                <w:sz w:val="20"/>
              </w:rPr>
            </w:pPr>
            <w:r w:rsidRPr="007A06CA">
              <w:rPr>
                <w:rFonts w:cs="Times"/>
                <w:b/>
                <w:sz w:val="20"/>
              </w:rPr>
              <w:t>1</w:t>
            </w:r>
          </w:p>
        </w:tc>
        <w:tc>
          <w:tcPr>
            <w:tcW w:w="3060" w:type="dxa"/>
            <w:gridSpan w:val="2"/>
            <w:tcBorders>
              <w:bottom w:val="single" w:sz="4" w:space="0" w:color="auto"/>
            </w:tcBorders>
          </w:tcPr>
          <w:p w14:paraId="62E406B3" w14:textId="77777777" w:rsidR="0061104D" w:rsidRPr="007A06CA" w:rsidRDefault="0061104D" w:rsidP="002C0A7F">
            <w:pPr>
              <w:rPr>
                <w:rFonts w:cs="Times"/>
                <w:b/>
                <w:sz w:val="20"/>
              </w:rPr>
            </w:pPr>
            <w:r w:rsidRPr="007A06CA">
              <w:rPr>
                <w:rFonts w:cs="Times"/>
                <w:b/>
                <w:sz w:val="20"/>
              </w:rPr>
              <w:t>2 (highest)</w:t>
            </w:r>
          </w:p>
        </w:tc>
      </w:tr>
      <w:tr w:rsidR="0061104D" w:rsidRPr="007A06CA" w14:paraId="2ED07BC2" w14:textId="77777777" w:rsidTr="002C0A7F">
        <w:tc>
          <w:tcPr>
            <w:tcW w:w="2784" w:type="dxa"/>
            <w:vMerge w:val="restart"/>
          </w:tcPr>
          <w:p w14:paraId="57002101" w14:textId="77777777" w:rsidR="0061104D" w:rsidRPr="007A06CA" w:rsidRDefault="0061104D" w:rsidP="002B39C9">
            <w:pPr>
              <w:pStyle w:val="NormalWeb"/>
              <w:numPr>
                <w:ilvl w:val="0"/>
                <w:numId w:val="6"/>
              </w:numPr>
              <w:spacing w:before="0" w:beforeAutospacing="0" w:after="0" w:afterAutospacing="0"/>
              <w:rPr>
                <w:rFonts w:ascii="Times" w:hAnsi="Times" w:cs="Times"/>
                <w:b/>
                <w:sz w:val="20"/>
                <w:szCs w:val="20"/>
              </w:rPr>
            </w:pPr>
            <w:r w:rsidRPr="007A06CA">
              <w:rPr>
                <w:rFonts w:ascii="Times" w:hAnsi="Times" w:cs="Times"/>
                <w:b/>
                <w:sz w:val="20"/>
                <w:szCs w:val="20"/>
              </w:rPr>
              <w:t xml:space="preserve">The Course Includes Structured Reflection </w:t>
            </w:r>
          </w:p>
          <w:p w14:paraId="3AFF09F1" w14:textId="77777777" w:rsidR="0061104D" w:rsidRPr="007A06CA" w:rsidRDefault="0061104D" w:rsidP="002C0A7F">
            <w:pPr>
              <w:pStyle w:val="NormalWeb"/>
              <w:spacing w:before="0" w:beforeAutospacing="0" w:after="0" w:afterAutospacing="0"/>
              <w:rPr>
                <w:rFonts w:ascii="Times" w:hAnsi="Times" w:cs="Times"/>
                <w:b/>
                <w:i/>
                <w:sz w:val="20"/>
                <w:szCs w:val="20"/>
              </w:rPr>
            </w:pPr>
          </w:p>
          <w:p w14:paraId="652D2F93" w14:textId="77777777" w:rsidR="0061104D" w:rsidRPr="007A06CA" w:rsidRDefault="0061104D" w:rsidP="002C0A7F">
            <w:pPr>
              <w:rPr>
                <w:rFonts w:cs="Times"/>
                <w:sz w:val="20"/>
              </w:rPr>
            </w:pPr>
            <w:r w:rsidRPr="007A06CA">
              <w:rPr>
                <w:rFonts w:cs="Times"/>
                <w:sz w:val="20"/>
              </w:rPr>
              <w:t>The course includes structured student reflection upon the service project in light of intended student learning outcomes.</w:t>
            </w:r>
            <w:r w:rsidR="00BE24B3" w:rsidRPr="007A06CA">
              <w:rPr>
                <w:rFonts w:cs="Times"/>
                <w:sz w:val="20"/>
              </w:rPr>
              <w:t xml:space="preserve"> </w:t>
            </w:r>
            <w:r w:rsidRPr="007A06CA">
              <w:rPr>
                <w:rFonts w:cs="Times"/>
                <w:sz w:val="20"/>
              </w:rPr>
              <w:t xml:space="preserve">Reflection is continuous throughout the course, is connected to the academic and civic learning outcomes, and is challenging, building upon higher-order thinking skills. </w:t>
            </w:r>
          </w:p>
          <w:p w14:paraId="1187101E" w14:textId="77777777" w:rsidR="0061104D" w:rsidRPr="007A06CA" w:rsidRDefault="0061104D" w:rsidP="002C0A7F">
            <w:pPr>
              <w:rPr>
                <w:rFonts w:cs="Times"/>
                <w:sz w:val="20"/>
              </w:rPr>
            </w:pPr>
          </w:p>
        </w:tc>
        <w:tc>
          <w:tcPr>
            <w:tcW w:w="2071" w:type="dxa"/>
          </w:tcPr>
          <w:p w14:paraId="05821017" w14:textId="77777777" w:rsidR="0061104D" w:rsidRPr="007A06CA" w:rsidRDefault="0061104D" w:rsidP="002C0A7F">
            <w:pPr>
              <w:rPr>
                <w:rFonts w:cs="Times"/>
                <w:i/>
                <w:sz w:val="20"/>
              </w:rPr>
            </w:pPr>
            <w:r w:rsidRPr="007A06CA">
              <w:rPr>
                <w:rFonts w:cs="Times"/>
                <w:i/>
                <w:sz w:val="20"/>
              </w:rPr>
              <w:t>Reflection is continuous throughout the course.</w:t>
            </w:r>
          </w:p>
          <w:p w14:paraId="69AFF6E1" w14:textId="77777777" w:rsidR="0061104D" w:rsidRPr="007A06CA" w:rsidRDefault="0061104D" w:rsidP="002C0A7F">
            <w:pPr>
              <w:rPr>
                <w:rFonts w:cs="Times"/>
                <w:i/>
                <w:sz w:val="20"/>
              </w:rPr>
            </w:pPr>
          </w:p>
        </w:tc>
        <w:tc>
          <w:tcPr>
            <w:tcW w:w="3510" w:type="dxa"/>
            <w:gridSpan w:val="2"/>
          </w:tcPr>
          <w:p w14:paraId="1E9EFC3E" w14:textId="77777777" w:rsidR="0061104D" w:rsidRPr="007A06CA" w:rsidRDefault="0061104D" w:rsidP="002C0A7F">
            <w:pPr>
              <w:rPr>
                <w:rFonts w:cs="Times"/>
                <w:sz w:val="20"/>
              </w:rPr>
            </w:pPr>
            <w:r w:rsidRPr="007A06CA">
              <w:rPr>
                <w:rFonts w:cs="Times"/>
                <w:sz w:val="20"/>
              </w:rPr>
              <w:t xml:space="preserve">The application mentions reflection, but the reflection does not appear to be continuous throughout the course. </w:t>
            </w:r>
          </w:p>
        </w:tc>
        <w:tc>
          <w:tcPr>
            <w:tcW w:w="2970" w:type="dxa"/>
            <w:gridSpan w:val="2"/>
          </w:tcPr>
          <w:p w14:paraId="543F9C95" w14:textId="3D02BC34" w:rsidR="0061104D" w:rsidRPr="007A06CA" w:rsidRDefault="0061104D" w:rsidP="002C0A7F">
            <w:pPr>
              <w:rPr>
                <w:rFonts w:cs="Times"/>
                <w:sz w:val="20"/>
              </w:rPr>
            </w:pPr>
            <w:r w:rsidRPr="007A06CA">
              <w:rPr>
                <w:rFonts w:cs="Times"/>
                <w:sz w:val="20"/>
              </w:rPr>
              <w:t xml:space="preserve">The application mentions reflection, but could be </w:t>
            </w:r>
            <w:r w:rsidR="00882AC4" w:rsidRPr="007A06CA">
              <w:rPr>
                <w:rFonts w:cs="Times"/>
                <w:sz w:val="20"/>
              </w:rPr>
              <w:t>clearer</w:t>
            </w:r>
            <w:r w:rsidRPr="007A06CA">
              <w:rPr>
                <w:rFonts w:cs="Times"/>
                <w:sz w:val="20"/>
              </w:rPr>
              <w:t xml:space="preserve"> as to how the reflection is structured continuously throughout the course.</w:t>
            </w:r>
          </w:p>
        </w:tc>
        <w:tc>
          <w:tcPr>
            <w:tcW w:w="3060" w:type="dxa"/>
            <w:gridSpan w:val="2"/>
          </w:tcPr>
          <w:p w14:paraId="2766D39A" w14:textId="77777777" w:rsidR="0061104D" w:rsidRPr="007A06CA" w:rsidRDefault="0061104D" w:rsidP="002C0A7F">
            <w:pPr>
              <w:rPr>
                <w:rFonts w:cs="Times"/>
                <w:sz w:val="20"/>
              </w:rPr>
            </w:pPr>
            <w:r w:rsidRPr="007A06CA">
              <w:rPr>
                <w:rFonts w:cs="Times"/>
                <w:sz w:val="20"/>
              </w:rPr>
              <w:t xml:space="preserve">The application states clearly how reflection is structured continuously throughout the course. </w:t>
            </w:r>
          </w:p>
        </w:tc>
      </w:tr>
      <w:tr w:rsidR="0061104D" w:rsidRPr="007A06CA" w14:paraId="244C1657" w14:textId="77777777" w:rsidTr="002C0A7F">
        <w:tc>
          <w:tcPr>
            <w:tcW w:w="2784" w:type="dxa"/>
            <w:vMerge/>
          </w:tcPr>
          <w:p w14:paraId="0F289FE4" w14:textId="77777777" w:rsidR="0061104D" w:rsidRPr="007A06CA" w:rsidRDefault="0061104D" w:rsidP="002C0A7F">
            <w:pPr>
              <w:pStyle w:val="NormalWeb"/>
              <w:spacing w:before="0" w:beforeAutospacing="0" w:after="0" w:afterAutospacing="0"/>
              <w:rPr>
                <w:rFonts w:ascii="Times" w:hAnsi="Times" w:cs="Times"/>
                <w:b/>
                <w:i/>
                <w:sz w:val="20"/>
                <w:szCs w:val="20"/>
              </w:rPr>
            </w:pPr>
          </w:p>
        </w:tc>
        <w:tc>
          <w:tcPr>
            <w:tcW w:w="2071" w:type="dxa"/>
          </w:tcPr>
          <w:p w14:paraId="248A9C36" w14:textId="77777777" w:rsidR="0061104D" w:rsidRPr="007A06CA" w:rsidRDefault="0061104D" w:rsidP="002C0A7F">
            <w:pPr>
              <w:rPr>
                <w:rFonts w:cs="Times"/>
                <w:i/>
                <w:sz w:val="20"/>
              </w:rPr>
            </w:pPr>
            <w:r w:rsidRPr="007A06CA">
              <w:rPr>
                <w:rFonts w:cs="Times"/>
                <w:i/>
                <w:sz w:val="20"/>
              </w:rPr>
              <w:t xml:space="preserve">Reflection is connected to the academic and civic learning outcomes. </w:t>
            </w:r>
          </w:p>
          <w:p w14:paraId="749787CD" w14:textId="77777777" w:rsidR="0061104D" w:rsidRPr="007A06CA" w:rsidRDefault="0061104D" w:rsidP="002C0A7F">
            <w:pPr>
              <w:rPr>
                <w:rFonts w:cs="Times"/>
                <w:i/>
                <w:sz w:val="20"/>
              </w:rPr>
            </w:pPr>
          </w:p>
        </w:tc>
        <w:tc>
          <w:tcPr>
            <w:tcW w:w="3510" w:type="dxa"/>
            <w:gridSpan w:val="2"/>
          </w:tcPr>
          <w:p w14:paraId="7441A88C" w14:textId="77777777" w:rsidR="0061104D" w:rsidRPr="007A06CA" w:rsidRDefault="0061104D" w:rsidP="002C0A7F">
            <w:pPr>
              <w:rPr>
                <w:rFonts w:cs="Times"/>
                <w:sz w:val="20"/>
              </w:rPr>
            </w:pPr>
            <w:r w:rsidRPr="007A06CA">
              <w:rPr>
                <w:rFonts w:cs="Times"/>
                <w:sz w:val="20"/>
              </w:rPr>
              <w:t xml:space="preserve">The application mentions reflection, but the reflection does not appear to be connected to the academic or civic learning outcomes. </w:t>
            </w:r>
          </w:p>
        </w:tc>
        <w:tc>
          <w:tcPr>
            <w:tcW w:w="2970" w:type="dxa"/>
            <w:gridSpan w:val="2"/>
          </w:tcPr>
          <w:p w14:paraId="15EC046A" w14:textId="277F92F7" w:rsidR="0061104D" w:rsidRPr="007A06CA" w:rsidRDefault="0061104D" w:rsidP="002C0A7F">
            <w:pPr>
              <w:rPr>
                <w:rFonts w:cs="Times"/>
                <w:sz w:val="20"/>
              </w:rPr>
            </w:pPr>
            <w:r w:rsidRPr="007A06CA">
              <w:rPr>
                <w:rFonts w:cs="Times"/>
                <w:sz w:val="20"/>
              </w:rPr>
              <w:t xml:space="preserve">The application mentions reflection, but could be </w:t>
            </w:r>
            <w:r w:rsidR="00E75AAA" w:rsidRPr="007A06CA">
              <w:rPr>
                <w:rFonts w:cs="Times"/>
                <w:sz w:val="20"/>
              </w:rPr>
              <w:t>clearer</w:t>
            </w:r>
            <w:r w:rsidRPr="007A06CA">
              <w:rPr>
                <w:rFonts w:cs="Times"/>
                <w:sz w:val="20"/>
              </w:rPr>
              <w:t xml:space="preserve"> as to how the reflection is connected to the academic or civic learning outcomes.</w:t>
            </w:r>
          </w:p>
        </w:tc>
        <w:tc>
          <w:tcPr>
            <w:tcW w:w="3060" w:type="dxa"/>
            <w:gridSpan w:val="2"/>
          </w:tcPr>
          <w:p w14:paraId="1A720C3C" w14:textId="77777777" w:rsidR="0061104D" w:rsidRPr="007A06CA" w:rsidRDefault="0061104D" w:rsidP="002C0A7F">
            <w:pPr>
              <w:rPr>
                <w:rFonts w:cs="Times"/>
                <w:sz w:val="20"/>
              </w:rPr>
            </w:pPr>
            <w:r w:rsidRPr="007A06CA">
              <w:rPr>
                <w:rFonts w:cs="Times"/>
                <w:sz w:val="20"/>
              </w:rPr>
              <w:t>The application states clearly how the reflection is connected to the academic or civic learning outcomes.</w:t>
            </w:r>
          </w:p>
        </w:tc>
      </w:tr>
      <w:tr w:rsidR="0061104D" w:rsidRPr="007A06CA" w14:paraId="5C3606C5" w14:textId="77777777" w:rsidTr="002C0A7F">
        <w:tc>
          <w:tcPr>
            <w:tcW w:w="2784" w:type="dxa"/>
            <w:vMerge/>
            <w:tcBorders>
              <w:bottom w:val="single" w:sz="4" w:space="0" w:color="auto"/>
            </w:tcBorders>
          </w:tcPr>
          <w:p w14:paraId="1601D875" w14:textId="77777777" w:rsidR="0061104D" w:rsidRPr="007A06CA" w:rsidRDefault="0061104D" w:rsidP="002C0A7F">
            <w:pPr>
              <w:pStyle w:val="NormalWeb"/>
              <w:spacing w:before="0" w:beforeAutospacing="0" w:after="0" w:afterAutospacing="0"/>
              <w:rPr>
                <w:rFonts w:ascii="Times" w:hAnsi="Times" w:cs="Times"/>
                <w:b/>
                <w:i/>
                <w:sz w:val="20"/>
                <w:szCs w:val="20"/>
              </w:rPr>
            </w:pPr>
          </w:p>
        </w:tc>
        <w:tc>
          <w:tcPr>
            <w:tcW w:w="2071" w:type="dxa"/>
            <w:tcBorders>
              <w:bottom w:val="single" w:sz="4" w:space="0" w:color="auto"/>
            </w:tcBorders>
          </w:tcPr>
          <w:p w14:paraId="5FD9B39A" w14:textId="77777777" w:rsidR="0061104D" w:rsidRPr="007A06CA" w:rsidRDefault="0061104D" w:rsidP="002C0A7F">
            <w:pPr>
              <w:rPr>
                <w:rFonts w:cs="Times"/>
                <w:i/>
                <w:sz w:val="20"/>
              </w:rPr>
            </w:pPr>
            <w:r w:rsidRPr="007A06CA">
              <w:rPr>
                <w:rFonts w:cs="Times"/>
                <w:i/>
                <w:sz w:val="20"/>
              </w:rPr>
              <w:t>Reflection builds upon higher-order thinking skills (e.g., analysis of structural inequities, synthesis of new ideas, self and/or peer evaluation, development of recommendations or policy proposals, etc.)</w:t>
            </w:r>
          </w:p>
        </w:tc>
        <w:tc>
          <w:tcPr>
            <w:tcW w:w="3510" w:type="dxa"/>
            <w:gridSpan w:val="2"/>
            <w:tcBorders>
              <w:bottom w:val="single" w:sz="4" w:space="0" w:color="auto"/>
            </w:tcBorders>
          </w:tcPr>
          <w:p w14:paraId="3DCC1681" w14:textId="77777777" w:rsidR="0061104D" w:rsidRPr="007A06CA" w:rsidRDefault="0061104D" w:rsidP="002C0A7F">
            <w:pPr>
              <w:rPr>
                <w:rFonts w:cs="Times"/>
                <w:sz w:val="20"/>
              </w:rPr>
            </w:pPr>
            <w:r w:rsidRPr="007A06CA">
              <w:rPr>
                <w:rFonts w:cs="Times"/>
                <w:sz w:val="20"/>
              </w:rPr>
              <w:t>The application mentions reflection, but the reflection does not appear to build upon higher-order thinking skills.</w:t>
            </w:r>
          </w:p>
        </w:tc>
        <w:tc>
          <w:tcPr>
            <w:tcW w:w="2970" w:type="dxa"/>
            <w:gridSpan w:val="2"/>
            <w:tcBorders>
              <w:bottom w:val="single" w:sz="4" w:space="0" w:color="auto"/>
            </w:tcBorders>
          </w:tcPr>
          <w:p w14:paraId="59881A7E" w14:textId="7DAF1B02" w:rsidR="0061104D" w:rsidRPr="007A06CA" w:rsidRDefault="0061104D" w:rsidP="002C0A7F">
            <w:pPr>
              <w:rPr>
                <w:rFonts w:cs="Times"/>
                <w:sz w:val="20"/>
              </w:rPr>
            </w:pPr>
            <w:r w:rsidRPr="007A06CA">
              <w:rPr>
                <w:rFonts w:cs="Times"/>
                <w:sz w:val="20"/>
              </w:rPr>
              <w:t xml:space="preserve">The application mentions reflection, but could be </w:t>
            </w:r>
            <w:r w:rsidR="00E75AAA" w:rsidRPr="007A06CA">
              <w:rPr>
                <w:rFonts w:cs="Times"/>
                <w:sz w:val="20"/>
              </w:rPr>
              <w:t>clearer</w:t>
            </w:r>
            <w:r w:rsidRPr="007A06CA">
              <w:rPr>
                <w:rFonts w:cs="Times"/>
                <w:sz w:val="20"/>
              </w:rPr>
              <w:t xml:space="preserve"> as to how the reflection challenges the students, building upon higher-order thinking skills.</w:t>
            </w:r>
          </w:p>
        </w:tc>
        <w:tc>
          <w:tcPr>
            <w:tcW w:w="3060" w:type="dxa"/>
            <w:gridSpan w:val="2"/>
            <w:tcBorders>
              <w:bottom w:val="single" w:sz="4" w:space="0" w:color="auto"/>
            </w:tcBorders>
          </w:tcPr>
          <w:p w14:paraId="556D467D" w14:textId="77777777" w:rsidR="0061104D" w:rsidRPr="007A06CA" w:rsidRDefault="0061104D" w:rsidP="002C0A7F">
            <w:pPr>
              <w:rPr>
                <w:rFonts w:cs="Times"/>
                <w:sz w:val="20"/>
              </w:rPr>
            </w:pPr>
            <w:r w:rsidRPr="007A06CA">
              <w:rPr>
                <w:rFonts w:cs="Times"/>
                <w:sz w:val="20"/>
              </w:rPr>
              <w:t xml:space="preserve">The application describes reflection that is clearly challenging, requiring demonstration of high-order thinking skills. </w:t>
            </w:r>
          </w:p>
        </w:tc>
      </w:tr>
      <w:tr w:rsidR="0061104D" w:rsidRPr="007A06CA" w14:paraId="3D3FF10B" w14:textId="77777777" w:rsidTr="002C0A7F">
        <w:tc>
          <w:tcPr>
            <w:tcW w:w="2784" w:type="dxa"/>
            <w:tcBorders>
              <w:top w:val="single" w:sz="4" w:space="0" w:color="auto"/>
              <w:left w:val="nil"/>
              <w:bottom w:val="nil"/>
              <w:right w:val="nil"/>
            </w:tcBorders>
          </w:tcPr>
          <w:p w14:paraId="1FAE99D9" w14:textId="77777777" w:rsidR="0061104D" w:rsidRPr="007A06CA" w:rsidRDefault="0061104D" w:rsidP="002C0A7F">
            <w:pPr>
              <w:pStyle w:val="NormalWeb"/>
              <w:spacing w:before="0" w:beforeAutospacing="0" w:after="0" w:afterAutospacing="0"/>
              <w:rPr>
                <w:rFonts w:ascii="Times" w:hAnsi="Times" w:cs="Times"/>
                <w:b/>
                <w:i/>
                <w:sz w:val="20"/>
                <w:szCs w:val="20"/>
              </w:rPr>
            </w:pPr>
          </w:p>
        </w:tc>
        <w:tc>
          <w:tcPr>
            <w:tcW w:w="2071" w:type="dxa"/>
            <w:tcBorders>
              <w:top w:val="single" w:sz="4" w:space="0" w:color="auto"/>
              <w:left w:val="nil"/>
              <w:bottom w:val="nil"/>
              <w:right w:val="nil"/>
            </w:tcBorders>
          </w:tcPr>
          <w:p w14:paraId="0850CAFD" w14:textId="77777777" w:rsidR="0061104D" w:rsidRPr="007A06CA" w:rsidRDefault="0061104D" w:rsidP="002C0A7F">
            <w:pPr>
              <w:rPr>
                <w:rFonts w:cs="Times"/>
                <w:i/>
                <w:sz w:val="20"/>
              </w:rPr>
            </w:pPr>
          </w:p>
        </w:tc>
        <w:tc>
          <w:tcPr>
            <w:tcW w:w="2160" w:type="dxa"/>
            <w:tcBorders>
              <w:top w:val="single" w:sz="4" w:space="0" w:color="auto"/>
              <w:left w:val="nil"/>
              <w:bottom w:val="nil"/>
              <w:right w:val="nil"/>
            </w:tcBorders>
          </w:tcPr>
          <w:p w14:paraId="1E880562" w14:textId="77777777" w:rsidR="0061104D" w:rsidRPr="007A06CA" w:rsidRDefault="0061104D" w:rsidP="002C0A7F">
            <w:pPr>
              <w:rPr>
                <w:rFonts w:cs="Times"/>
                <w:sz w:val="20"/>
              </w:rPr>
            </w:pPr>
          </w:p>
        </w:tc>
        <w:tc>
          <w:tcPr>
            <w:tcW w:w="2520" w:type="dxa"/>
            <w:gridSpan w:val="2"/>
            <w:tcBorders>
              <w:top w:val="single" w:sz="4" w:space="0" w:color="auto"/>
              <w:left w:val="nil"/>
              <w:bottom w:val="nil"/>
              <w:right w:val="nil"/>
            </w:tcBorders>
          </w:tcPr>
          <w:p w14:paraId="6343404A" w14:textId="77777777" w:rsidR="0061104D" w:rsidRPr="007A06CA" w:rsidRDefault="0061104D" w:rsidP="002C0A7F">
            <w:pPr>
              <w:rPr>
                <w:rFonts w:cs="Times"/>
                <w:sz w:val="20"/>
              </w:rPr>
            </w:pPr>
          </w:p>
        </w:tc>
        <w:tc>
          <w:tcPr>
            <w:tcW w:w="2520" w:type="dxa"/>
            <w:gridSpan w:val="2"/>
            <w:tcBorders>
              <w:top w:val="single" w:sz="4" w:space="0" w:color="auto"/>
              <w:left w:val="nil"/>
              <w:bottom w:val="nil"/>
              <w:right w:val="nil"/>
            </w:tcBorders>
          </w:tcPr>
          <w:p w14:paraId="26063FDC" w14:textId="77777777" w:rsidR="0061104D" w:rsidRPr="007A06CA" w:rsidRDefault="0061104D" w:rsidP="002C0A7F">
            <w:pPr>
              <w:rPr>
                <w:rFonts w:cs="Times"/>
                <w:sz w:val="20"/>
              </w:rPr>
            </w:pPr>
          </w:p>
        </w:tc>
        <w:tc>
          <w:tcPr>
            <w:tcW w:w="2340" w:type="dxa"/>
            <w:tcBorders>
              <w:top w:val="single" w:sz="4" w:space="0" w:color="auto"/>
              <w:left w:val="nil"/>
              <w:bottom w:val="nil"/>
              <w:right w:val="nil"/>
            </w:tcBorders>
          </w:tcPr>
          <w:p w14:paraId="58CCA0C1" w14:textId="77777777" w:rsidR="0061104D" w:rsidRPr="007A06CA" w:rsidRDefault="0061104D" w:rsidP="002C0A7F">
            <w:pPr>
              <w:rPr>
                <w:rFonts w:cs="Times"/>
                <w:sz w:val="20"/>
              </w:rPr>
            </w:pPr>
          </w:p>
        </w:tc>
      </w:tr>
      <w:tr w:rsidR="0061104D" w:rsidRPr="007A06CA" w14:paraId="0B344F0B" w14:textId="77777777" w:rsidTr="002C0A7F">
        <w:tc>
          <w:tcPr>
            <w:tcW w:w="2784" w:type="dxa"/>
            <w:tcBorders>
              <w:top w:val="nil"/>
              <w:left w:val="nil"/>
              <w:bottom w:val="nil"/>
              <w:right w:val="nil"/>
            </w:tcBorders>
          </w:tcPr>
          <w:p w14:paraId="590F002C" w14:textId="77777777" w:rsidR="0061104D" w:rsidRPr="007A06CA" w:rsidRDefault="0061104D" w:rsidP="002C0A7F">
            <w:pPr>
              <w:pStyle w:val="NormalWeb"/>
              <w:spacing w:before="0" w:beforeAutospacing="0" w:after="0" w:afterAutospacing="0"/>
              <w:rPr>
                <w:rFonts w:ascii="Times" w:hAnsi="Times" w:cs="Times"/>
                <w:b/>
                <w:i/>
                <w:sz w:val="20"/>
                <w:szCs w:val="20"/>
              </w:rPr>
            </w:pPr>
          </w:p>
        </w:tc>
        <w:tc>
          <w:tcPr>
            <w:tcW w:w="2071" w:type="dxa"/>
            <w:tcBorders>
              <w:top w:val="nil"/>
              <w:left w:val="nil"/>
              <w:bottom w:val="nil"/>
              <w:right w:val="nil"/>
            </w:tcBorders>
          </w:tcPr>
          <w:p w14:paraId="2F867545" w14:textId="77777777" w:rsidR="0061104D" w:rsidRPr="007A06CA" w:rsidRDefault="0061104D" w:rsidP="002C0A7F">
            <w:pPr>
              <w:rPr>
                <w:rFonts w:cs="Times"/>
                <w:i/>
                <w:sz w:val="20"/>
              </w:rPr>
            </w:pPr>
          </w:p>
        </w:tc>
        <w:tc>
          <w:tcPr>
            <w:tcW w:w="2160" w:type="dxa"/>
            <w:tcBorders>
              <w:top w:val="nil"/>
              <w:left w:val="nil"/>
              <w:bottom w:val="nil"/>
              <w:right w:val="nil"/>
            </w:tcBorders>
          </w:tcPr>
          <w:p w14:paraId="544DB760" w14:textId="77777777" w:rsidR="0061104D" w:rsidRPr="007A06CA" w:rsidRDefault="0061104D" w:rsidP="002C0A7F">
            <w:pPr>
              <w:rPr>
                <w:rFonts w:cs="Times"/>
                <w:sz w:val="20"/>
              </w:rPr>
            </w:pPr>
          </w:p>
        </w:tc>
        <w:tc>
          <w:tcPr>
            <w:tcW w:w="2520" w:type="dxa"/>
            <w:gridSpan w:val="2"/>
            <w:tcBorders>
              <w:top w:val="nil"/>
              <w:left w:val="nil"/>
              <w:bottom w:val="nil"/>
              <w:right w:val="nil"/>
            </w:tcBorders>
          </w:tcPr>
          <w:p w14:paraId="4480B983" w14:textId="77777777" w:rsidR="0061104D" w:rsidRPr="007A06CA" w:rsidRDefault="0061104D" w:rsidP="002C0A7F">
            <w:pPr>
              <w:rPr>
                <w:rFonts w:cs="Times"/>
                <w:sz w:val="20"/>
              </w:rPr>
            </w:pPr>
          </w:p>
        </w:tc>
        <w:tc>
          <w:tcPr>
            <w:tcW w:w="2520" w:type="dxa"/>
            <w:gridSpan w:val="2"/>
            <w:tcBorders>
              <w:top w:val="nil"/>
              <w:left w:val="nil"/>
              <w:bottom w:val="nil"/>
              <w:right w:val="nil"/>
            </w:tcBorders>
          </w:tcPr>
          <w:p w14:paraId="1959B60D" w14:textId="77777777" w:rsidR="0061104D" w:rsidRPr="007A06CA" w:rsidRDefault="0061104D" w:rsidP="002C0A7F">
            <w:pPr>
              <w:rPr>
                <w:rFonts w:cs="Times"/>
                <w:sz w:val="20"/>
              </w:rPr>
            </w:pPr>
          </w:p>
        </w:tc>
        <w:tc>
          <w:tcPr>
            <w:tcW w:w="2340" w:type="dxa"/>
            <w:tcBorders>
              <w:top w:val="nil"/>
              <w:left w:val="nil"/>
              <w:bottom w:val="nil"/>
              <w:right w:val="single" w:sz="4" w:space="0" w:color="auto"/>
            </w:tcBorders>
          </w:tcPr>
          <w:p w14:paraId="21A9D3EF" w14:textId="77777777" w:rsidR="0061104D" w:rsidRPr="007A06CA" w:rsidRDefault="0061104D" w:rsidP="002C0A7F">
            <w:pPr>
              <w:rPr>
                <w:rFonts w:cs="Times"/>
                <w:sz w:val="20"/>
              </w:rPr>
            </w:pPr>
          </w:p>
        </w:tc>
      </w:tr>
    </w:tbl>
    <w:p w14:paraId="70C91CF4" w14:textId="77777777" w:rsidR="0061104D" w:rsidRPr="007A06CA" w:rsidRDefault="0061104D" w:rsidP="0061104D">
      <w:pPr>
        <w:rPr>
          <w:rFonts w:cs="Times"/>
          <w:sz w:val="20"/>
        </w:rPr>
      </w:pPr>
    </w:p>
    <w:tbl>
      <w:tblPr>
        <w:tblStyle w:val="TableGrid"/>
        <w:tblW w:w="14395" w:type="dxa"/>
        <w:tblInd w:w="5" w:type="dxa"/>
        <w:tblLook w:val="04A0" w:firstRow="1" w:lastRow="0" w:firstColumn="1" w:lastColumn="0" w:noHBand="0" w:noVBand="1"/>
      </w:tblPr>
      <w:tblGrid>
        <w:gridCol w:w="2784"/>
        <w:gridCol w:w="11611"/>
      </w:tblGrid>
      <w:tr w:rsidR="0061104D" w:rsidRPr="007A06CA" w14:paraId="652EAE63" w14:textId="77777777" w:rsidTr="002C0A7F">
        <w:tc>
          <w:tcPr>
            <w:tcW w:w="14395" w:type="dxa"/>
            <w:gridSpan w:val="2"/>
            <w:tcBorders>
              <w:top w:val="nil"/>
              <w:left w:val="nil"/>
              <w:right w:val="nil"/>
            </w:tcBorders>
          </w:tcPr>
          <w:p w14:paraId="64B12400" w14:textId="77777777" w:rsidR="0061104D" w:rsidRDefault="0061104D" w:rsidP="007A06CA">
            <w:pPr>
              <w:pStyle w:val="NormalWeb"/>
              <w:spacing w:before="0" w:beforeAutospacing="0" w:after="0" w:afterAutospacing="0"/>
              <w:rPr>
                <w:rFonts w:ascii="Times" w:hAnsi="Times" w:cs="Times"/>
                <w:b/>
                <w:sz w:val="20"/>
                <w:szCs w:val="20"/>
              </w:rPr>
            </w:pPr>
            <w:r w:rsidRPr="007A06CA">
              <w:rPr>
                <w:rFonts w:ascii="Times" w:hAnsi="Times" w:cs="Times"/>
                <w:b/>
                <w:sz w:val="20"/>
                <w:szCs w:val="20"/>
              </w:rPr>
              <w:t>Plan for Maintenance of Standards</w:t>
            </w:r>
          </w:p>
          <w:p w14:paraId="41AEACF9" w14:textId="11682DC9" w:rsidR="007A06CA" w:rsidRPr="007A06CA" w:rsidRDefault="007A06CA" w:rsidP="007A06CA">
            <w:pPr>
              <w:pStyle w:val="NormalWeb"/>
              <w:spacing w:before="0" w:beforeAutospacing="0" w:after="0" w:afterAutospacing="0"/>
              <w:rPr>
                <w:rFonts w:ascii="Times" w:hAnsi="Times" w:cs="Times"/>
                <w:sz w:val="20"/>
                <w:szCs w:val="20"/>
              </w:rPr>
            </w:pPr>
          </w:p>
        </w:tc>
      </w:tr>
      <w:tr w:rsidR="0061104D" w:rsidRPr="007A06CA" w14:paraId="56BC1659" w14:textId="77777777" w:rsidTr="002C0A7F">
        <w:tc>
          <w:tcPr>
            <w:tcW w:w="2784" w:type="dxa"/>
          </w:tcPr>
          <w:p w14:paraId="4AE4F550" w14:textId="77777777" w:rsidR="0061104D" w:rsidRPr="007A06CA" w:rsidRDefault="0061104D" w:rsidP="002C0A7F">
            <w:pPr>
              <w:pStyle w:val="NormalWeb"/>
              <w:spacing w:before="0" w:beforeAutospacing="0" w:after="0" w:afterAutospacing="0"/>
              <w:rPr>
                <w:rFonts w:ascii="Times" w:hAnsi="Times" w:cs="Times"/>
                <w:b/>
                <w:i/>
                <w:sz w:val="20"/>
                <w:szCs w:val="20"/>
              </w:rPr>
            </w:pPr>
            <w:r w:rsidRPr="007A06CA">
              <w:rPr>
                <w:rFonts w:ascii="Times" w:hAnsi="Times" w:cs="Times"/>
                <w:b/>
                <w:i/>
                <w:sz w:val="20"/>
                <w:szCs w:val="20"/>
              </w:rPr>
              <w:t>Plan for Maintenance of Standards</w:t>
            </w:r>
          </w:p>
          <w:p w14:paraId="4CA3E6BD" w14:textId="77777777" w:rsidR="0061104D" w:rsidRPr="007A06CA" w:rsidRDefault="0061104D" w:rsidP="002C0A7F">
            <w:pPr>
              <w:pStyle w:val="NormalWeb"/>
              <w:spacing w:before="0" w:beforeAutospacing="0" w:after="0" w:afterAutospacing="0"/>
              <w:rPr>
                <w:rFonts w:ascii="Times" w:hAnsi="Times" w:cs="Times"/>
                <w:b/>
                <w:i/>
                <w:sz w:val="20"/>
                <w:szCs w:val="20"/>
              </w:rPr>
            </w:pPr>
          </w:p>
          <w:p w14:paraId="46D7B0FC" w14:textId="77777777" w:rsidR="0061104D" w:rsidRPr="007A06CA" w:rsidRDefault="0061104D" w:rsidP="002C0A7F">
            <w:pPr>
              <w:rPr>
                <w:rFonts w:cs="Times"/>
                <w:sz w:val="20"/>
              </w:rPr>
            </w:pPr>
          </w:p>
          <w:p w14:paraId="5BAD8298" w14:textId="77777777" w:rsidR="0061104D" w:rsidRPr="007A06CA" w:rsidRDefault="0061104D" w:rsidP="002C0A7F">
            <w:pPr>
              <w:rPr>
                <w:rFonts w:cs="Times"/>
                <w:b/>
                <w:sz w:val="20"/>
              </w:rPr>
            </w:pPr>
            <w:r w:rsidRPr="007A06CA">
              <w:rPr>
                <w:rFonts w:cs="Times"/>
                <w:sz w:val="20"/>
              </w:rPr>
              <w:t xml:space="preserve"> </w:t>
            </w:r>
          </w:p>
        </w:tc>
        <w:tc>
          <w:tcPr>
            <w:tcW w:w="11611" w:type="dxa"/>
          </w:tcPr>
          <w:p w14:paraId="2A77F343" w14:textId="43527AAF" w:rsidR="0061104D" w:rsidRPr="007A06CA" w:rsidRDefault="0061104D" w:rsidP="002C0A7F">
            <w:pPr>
              <w:rPr>
                <w:rFonts w:cs="Times"/>
                <w:i/>
                <w:sz w:val="20"/>
              </w:rPr>
            </w:pPr>
            <w:r w:rsidRPr="007A06CA">
              <w:rPr>
                <w:rFonts w:cs="Times"/>
                <w:i/>
                <w:sz w:val="20"/>
              </w:rPr>
              <w:t>If the designated course would be taught by multiple instructors, the department and/or college should describe their plan for ensuring that each of the designation standards are maintained when</w:t>
            </w:r>
            <w:r w:rsidR="00E75AAA">
              <w:rPr>
                <w:rFonts w:cs="Times"/>
                <w:i/>
                <w:sz w:val="20"/>
              </w:rPr>
              <w:t xml:space="preserve"> a new instructor teaches</w:t>
            </w:r>
            <w:r w:rsidRPr="007A06CA">
              <w:rPr>
                <w:rFonts w:cs="Times"/>
                <w:i/>
                <w:sz w:val="20"/>
              </w:rPr>
              <w:t xml:space="preserve"> the course.</w:t>
            </w:r>
          </w:p>
        </w:tc>
      </w:tr>
    </w:tbl>
    <w:p w14:paraId="08B23957" w14:textId="77777777" w:rsidR="0061104D" w:rsidRPr="007A06CA" w:rsidRDefault="0061104D" w:rsidP="0061104D">
      <w:pPr>
        <w:rPr>
          <w:rFonts w:cs="Times"/>
          <w:sz w:val="20"/>
        </w:rPr>
      </w:pPr>
    </w:p>
    <w:p w14:paraId="384E6C63" w14:textId="77777777" w:rsidR="0061104D" w:rsidRPr="007A06CA" w:rsidRDefault="0061104D" w:rsidP="0061104D">
      <w:pPr>
        <w:spacing w:after="160" w:line="259" w:lineRule="auto"/>
        <w:rPr>
          <w:rFonts w:cs="Times"/>
          <w:sz w:val="20"/>
        </w:rPr>
      </w:pPr>
      <w:r w:rsidRPr="007A06CA">
        <w:rPr>
          <w:rFonts w:cs="Times"/>
          <w:sz w:val="20"/>
        </w:rPr>
        <w:br w:type="page"/>
      </w:r>
    </w:p>
    <w:p w14:paraId="33A0EB21" w14:textId="77777777" w:rsidR="0061104D" w:rsidRPr="007A06CA" w:rsidRDefault="0061104D" w:rsidP="0061104D">
      <w:pPr>
        <w:rPr>
          <w:rFonts w:cs="Times"/>
          <w:b/>
          <w:sz w:val="20"/>
        </w:rPr>
      </w:pPr>
      <w:r w:rsidRPr="007A06CA">
        <w:rPr>
          <w:rFonts w:cs="Times"/>
          <w:b/>
          <w:sz w:val="20"/>
        </w:rPr>
        <w:lastRenderedPageBreak/>
        <w:t>Exemplar Responses from 2016-17 Designation Applications:</w:t>
      </w:r>
    </w:p>
    <w:p w14:paraId="505E2B8D" w14:textId="77777777" w:rsidR="007A06CA" w:rsidRPr="007A06CA" w:rsidRDefault="007A06CA" w:rsidP="0061104D">
      <w:pPr>
        <w:rPr>
          <w:rFonts w:cs="Times"/>
          <w:sz w:val="20"/>
        </w:rPr>
      </w:pPr>
    </w:p>
    <w:p w14:paraId="3F6930AC" w14:textId="667BEF9B" w:rsidR="0061104D" w:rsidRPr="007A06CA" w:rsidRDefault="0061104D" w:rsidP="0061104D">
      <w:pPr>
        <w:rPr>
          <w:rFonts w:cs="Times"/>
          <w:sz w:val="20"/>
        </w:rPr>
      </w:pPr>
      <w:r w:rsidRPr="007A06CA">
        <w:rPr>
          <w:rFonts w:cs="Times"/>
          <w:sz w:val="20"/>
        </w:rPr>
        <w:t xml:space="preserve">The below statements are responses that received the highest score possible by the S designation subcommittee during the 2016-2017 academic year. </w:t>
      </w:r>
      <w:r w:rsidR="00E75AAA">
        <w:rPr>
          <w:rFonts w:cs="Times"/>
          <w:sz w:val="20"/>
        </w:rPr>
        <w:t>Please note</w:t>
      </w:r>
      <w:r w:rsidRPr="00E75AAA">
        <w:rPr>
          <w:rFonts w:cs="Times"/>
          <w:sz w:val="20"/>
        </w:rPr>
        <w:t xml:space="preserve"> that some revisions have been made to the application process since the 2016-17 designation reviews.</w:t>
      </w:r>
      <w:r w:rsidRPr="007A06CA">
        <w:rPr>
          <w:rFonts w:cs="Times"/>
          <w:sz w:val="20"/>
        </w:rPr>
        <w:t xml:space="preserve"> Thus</w:t>
      </w:r>
      <w:r w:rsidR="00E75AAA">
        <w:rPr>
          <w:rFonts w:cs="Times"/>
          <w:sz w:val="20"/>
        </w:rPr>
        <w:t>,</w:t>
      </w:r>
      <w:r w:rsidRPr="007A06CA">
        <w:rPr>
          <w:rFonts w:cs="Times"/>
          <w:sz w:val="20"/>
        </w:rPr>
        <w:t xml:space="preserve"> the below responses may </w:t>
      </w:r>
      <w:r w:rsidR="00DE0179" w:rsidRPr="007A06CA">
        <w:rPr>
          <w:rFonts w:cs="Times"/>
          <w:sz w:val="20"/>
        </w:rPr>
        <w:t>not entirely align with the 20</w:t>
      </w:r>
      <w:r w:rsidR="007A06CA" w:rsidRPr="007A06CA">
        <w:rPr>
          <w:rFonts w:cs="Times"/>
          <w:sz w:val="20"/>
        </w:rPr>
        <w:t>19</w:t>
      </w:r>
      <w:r w:rsidR="00DE0179" w:rsidRPr="007A06CA">
        <w:rPr>
          <w:rFonts w:cs="Times"/>
          <w:sz w:val="20"/>
        </w:rPr>
        <w:t>-</w:t>
      </w:r>
      <w:r w:rsidR="007A06CA" w:rsidRPr="007A06CA">
        <w:rPr>
          <w:rFonts w:cs="Times"/>
          <w:sz w:val="20"/>
        </w:rPr>
        <w:t>20</w:t>
      </w:r>
      <w:r w:rsidRPr="007A06CA">
        <w:rPr>
          <w:rFonts w:cs="Times"/>
          <w:sz w:val="20"/>
        </w:rPr>
        <w:t xml:space="preserve"> designation metrics. Please reference the revised application at </w:t>
      </w:r>
      <w:hyperlink r:id="rId10" w:history="1">
        <w:r w:rsidR="007A06CA" w:rsidRPr="007A06CA">
          <w:rPr>
            <w:rStyle w:val="Hyperlink"/>
            <w:rFonts w:cs="Times"/>
            <w:sz w:val="20"/>
          </w:rPr>
          <w:t>https://teaching.utk.edu/s-designation/</w:t>
        </w:r>
      </w:hyperlink>
      <w:r w:rsidR="007A06CA" w:rsidRPr="007A06CA">
        <w:rPr>
          <w:rFonts w:cs="Times"/>
          <w:sz w:val="20"/>
        </w:rPr>
        <w:t xml:space="preserve"> </w:t>
      </w:r>
      <w:r w:rsidRPr="007A06CA">
        <w:rPr>
          <w:rFonts w:cs="Times"/>
          <w:sz w:val="20"/>
        </w:rPr>
        <w:t xml:space="preserve">and the above rubric for the most up to date scoring metrics for each application question. </w:t>
      </w:r>
    </w:p>
    <w:p w14:paraId="417D0E9A" w14:textId="77777777" w:rsidR="00DE0179" w:rsidRPr="007A06CA" w:rsidRDefault="00DE0179" w:rsidP="0061104D">
      <w:pPr>
        <w:rPr>
          <w:rFonts w:cs="Times"/>
          <w:sz w:val="20"/>
        </w:rPr>
      </w:pPr>
    </w:p>
    <w:p w14:paraId="75A5F4CC" w14:textId="77777777" w:rsidR="0061104D" w:rsidRPr="007A06CA" w:rsidRDefault="0061104D" w:rsidP="0061104D">
      <w:pPr>
        <w:pStyle w:val="ListParagraph"/>
        <w:numPr>
          <w:ilvl w:val="0"/>
          <w:numId w:val="5"/>
        </w:numPr>
        <w:rPr>
          <w:rFonts w:cs="Times"/>
          <w:b/>
          <w:i/>
          <w:sz w:val="20"/>
        </w:rPr>
      </w:pPr>
      <w:r w:rsidRPr="007A06CA">
        <w:rPr>
          <w:rFonts w:cs="Times"/>
          <w:b/>
          <w:i/>
          <w:sz w:val="20"/>
        </w:rPr>
        <w:t xml:space="preserve">Student Learning Outcomes are Clear, Specific, and Reflect Service that Enhances Academic Learning </w:t>
      </w:r>
    </w:p>
    <w:p w14:paraId="7AAD218E" w14:textId="77777777" w:rsidR="0061104D" w:rsidRPr="007A06CA" w:rsidRDefault="0061104D" w:rsidP="007A06CA">
      <w:pPr>
        <w:pStyle w:val="ListParagraph"/>
        <w:numPr>
          <w:ilvl w:val="0"/>
          <w:numId w:val="16"/>
        </w:numPr>
        <w:rPr>
          <w:rFonts w:cs="Times"/>
          <w:sz w:val="20"/>
        </w:rPr>
      </w:pPr>
      <w:r w:rsidRPr="007A06CA">
        <w:rPr>
          <w:rFonts w:cs="Times"/>
          <w:sz w:val="20"/>
        </w:rPr>
        <w:t>Geology 206: Students will apply methods to address sustainability issues, and evaluate these methods.</w:t>
      </w:r>
    </w:p>
    <w:p w14:paraId="5EED30B5" w14:textId="77777777" w:rsidR="0061104D" w:rsidRPr="007A06CA" w:rsidRDefault="0061104D" w:rsidP="007A06CA">
      <w:pPr>
        <w:pStyle w:val="ListParagraph"/>
        <w:numPr>
          <w:ilvl w:val="0"/>
          <w:numId w:val="16"/>
        </w:numPr>
        <w:rPr>
          <w:rFonts w:cs="Times"/>
          <w:sz w:val="20"/>
        </w:rPr>
      </w:pPr>
      <w:r w:rsidRPr="007A06CA">
        <w:rPr>
          <w:rFonts w:cs="Times"/>
          <w:sz w:val="20"/>
        </w:rPr>
        <w:t>Spanish 494: Students will improve their language proficiency in Spanish.</w:t>
      </w:r>
    </w:p>
    <w:p w14:paraId="4C726DCA" w14:textId="77777777" w:rsidR="0061104D" w:rsidRPr="007A06CA" w:rsidRDefault="0061104D" w:rsidP="0061104D">
      <w:pPr>
        <w:rPr>
          <w:rFonts w:cs="Times"/>
          <w:sz w:val="20"/>
        </w:rPr>
      </w:pPr>
    </w:p>
    <w:p w14:paraId="5CEAB6A6" w14:textId="77777777" w:rsidR="0061104D" w:rsidRPr="007A06CA" w:rsidRDefault="0061104D" w:rsidP="0061104D">
      <w:pPr>
        <w:pStyle w:val="ListParagraph"/>
        <w:numPr>
          <w:ilvl w:val="0"/>
          <w:numId w:val="5"/>
        </w:numPr>
        <w:rPr>
          <w:rFonts w:cs="Times"/>
          <w:sz w:val="20"/>
        </w:rPr>
      </w:pPr>
      <w:r w:rsidRPr="007A06CA">
        <w:rPr>
          <w:rFonts w:cs="Times"/>
          <w:b/>
          <w:i/>
          <w:sz w:val="20"/>
        </w:rPr>
        <w:t>One or More Student Learning Outcomes</w:t>
      </w:r>
      <w:r w:rsidRPr="007A06CA">
        <w:rPr>
          <w:rFonts w:cs="Times"/>
          <w:b/>
          <w:sz w:val="20"/>
        </w:rPr>
        <w:t xml:space="preserve"> </w:t>
      </w:r>
      <w:r w:rsidRPr="007A06CA">
        <w:rPr>
          <w:rFonts w:cs="Times"/>
          <w:b/>
          <w:i/>
          <w:sz w:val="20"/>
        </w:rPr>
        <w:t>Address Civic Learning</w:t>
      </w:r>
      <w:r w:rsidRPr="007A06CA">
        <w:rPr>
          <w:rFonts w:cs="Times"/>
          <w:sz w:val="20"/>
        </w:rPr>
        <w:t xml:space="preserve"> </w:t>
      </w:r>
    </w:p>
    <w:p w14:paraId="336DD719" w14:textId="77777777" w:rsidR="0061104D" w:rsidRPr="007A06CA" w:rsidRDefault="0061104D" w:rsidP="007A06CA">
      <w:pPr>
        <w:pStyle w:val="ListParagraph"/>
        <w:numPr>
          <w:ilvl w:val="0"/>
          <w:numId w:val="17"/>
        </w:numPr>
        <w:rPr>
          <w:rFonts w:cs="Times"/>
          <w:sz w:val="20"/>
        </w:rPr>
      </w:pPr>
      <w:r w:rsidRPr="007A06CA">
        <w:rPr>
          <w:rFonts w:cs="Times"/>
          <w:sz w:val="20"/>
        </w:rPr>
        <w:t>Spanish 494: Students acquire a clearer understanding of their potential role as advocates for the Hispanic community in education and social services.</w:t>
      </w:r>
    </w:p>
    <w:p w14:paraId="17E196ED" w14:textId="77777777" w:rsidR="0061104D" w:rsidRPr="007A06CA" w:rsidRDefault="0061104D" w:rsidP="007A06CA">
      <w:pPr>
        <w:pStyle w:val="ListParagraph"/>
        <w:numPr>
          <w:ilvl w:val="0"/>
          <w:numId w:val="17"/>
        </w:numPr>
        <w:rPr>
          <w:rFonts w:cs="Times"/>
          <w:sz w:val="20"/>
        </w:rPr>
      </w:pPr>
      <w:r w:rsidRPr="007A06CA">
        <w:rPr>
          <w:rFonts w:cs="Times"/>
          <w:sz w:val="20"/>
        </w:rPr>
        <w:t>Architecture 370/371: Students will understand the architect’s responsibility to work in the public interest, to respect historical resources, and to improve the quality of life for local and global neighbors.</w:t>
      </w:r>
    </w:p>
    <w:p w14:paraId="4467C875" w14:textId="77777777" w:rsidR="0061104D" w:rsidRPr="007A06CA" w:rsidRDefault="0061104D" w:rsidP="0061104D">
      <w:pPr>
        <w:rPr>
          <w:rFonts w:cs="Times"/>
          <w:sz w:val="20"/>
        </w:rPr>
      </w:pPr>
    </w:p>
    <w:p w14:paraId="5C81F97C" w14:textId="77777777" w:rsidR="0061104D" w:rsidRPr="007A06CA" w:rsidRDefault="0061104D" w:rsidP="0061104D">
      <w:pPr>
        <w:pStyle w:val="ListParagraph"/>
        <w:numPr>
          <w:ilvl w:val="0"/>
          <w:numId w:val="5"/>
        </w:numPr>
        <w:rPr>
          <w:rFonts w:cs="Times"/>
          <w:b/>
          <w:sz w:val="20"/>
        </w:rPr>
      </w:pPr>
      <w:r w:rsidRPr="007A06CA">
        <w:rPr>
          <w:rFonts w:cs="Times"/>
          <w:b/>
          <w:i/>
          <w:sz w:val="20"/>
        </w:rPr>
        <w:t>Service Project is the Developed in Collaboration with the Community and is Mutually Beneficial to All Involved</w:t>
      </w:r>
    </w:p>
    <w:p w14:paraId="01102360" w14:textId="77777777" w:rsidR="007A06CA" w:rsidRPr="007A06CA" w:rsidRDefault="0061104D" w:rsidP="0061104D">
      <w:pPr>
        <w:pStyle w:val="NormalWeb"/>
        <w:numPr>
          <w:ilvl w:val="0"/>
          <w:numId w:val="18"/>
        </w:numPr>
        <w:spacing w:before="0" w:beforeAutospacing="0" w:after="0" w:afterAutospacing="0"/>
        <w:rPr>
          <w:rFonts w:ascii="Times" w:hAnsi="Times" w:cs="Times"/>
          <w:b/>
          <w:i/>
          <w:sz w:val="20"/>
          <w:szCs w:val="20"/>
        </w:rPr>
      </w:pPr>
      <w:r w:rsidRPr="007A06CA">
        <w:rPr>
          <w:rFonts w:ascii="Times" w:hAnsi="Times" w:cs="Times"/>
          <w:sz w:val="20"/>
          <w:szCs w:val="20"/>
        </w:rPr>
        <w:t>Philosophy 255: Each instructor will develop a “Partner Contract” that will establish the expectations relating to Standard #3. It will require the Instructor to meet with the Community Partner in advance of the semester, so that they can collaborate on the design and implementation of a service project for the students. The “partner contract” will require that the instructor and community partner i) identify a specific need of the community partner, ii) specify the task to be undertaken, iii) the responsibilities of the various stakeholders, and iv) the expected learning outcomes.</w:t>
      </w:r>
    </w:p>
    <w:p w14:paraId="7D569291" w14:textId="437C54DB" w:rsidR="0061104D" w:rsidRPr="007A06CA" w:rsidRDefault="0061104D" w:rsidP="0061104D">
      <w:pPr>
        <w:pStyle w:val="NormalWeb"/>
        <w:numPr>
          <w:ilvl w:val="0"/>
          <w:numId w:val="18"/>
        </w:numPr>
        <w:spacing w:before="0" w:beforeAutospacing="0" w:after="0" w:afterAutospacing="0"/>
        <w:rPr>
          <w:rFonts w:ascii="Times" w:hAnsi="Times" w:cs="Times"/>
          <w:b/>
          <w:i/>
          <w:sz w:val="20"/>
          <w:szCs w:val="20"/>
        </w:rPr>
      </w:pPr>
      <w:r w:rsidRPr="007A06CA">
        <w:rPr>
          <w:rFonts w:ascii="Times" w:hAnsi="Times" w:cs="Times"/>
          <w:sz w:val="20"/>
          <w:szCs w:val="20"/>
        </w:rPr>
        <w:t xml:space="preserve">Philosophy 256: Together, students and supervisors will fill out and sign a Learning-Work Agreement </w:t>
      </w:r>
      <w:r w:rsidR="00E75AAA">
        <w:rPr>
          <w:rFonts w:ascii="Times" w:hAnsi="Times" w:cs="Times"/>
          <w:sz w:val="20"/>
          <w:szCs w:val="20"/>
        </w:rPr>
        <w:t xml:space="preserve">(LWA) </w:t>
      </w:r>
      <w:r w:rsidRPr="007A06CA">
        <w:rPr>
          <w:rFonts w:ascii="Times" w:hAnsi="Times" w:cs="Times"/>
          <w:sz w:val="20"/>
          <w:szCs w:val="20"/>
        </w:rPr>
        <w:t xml:space="preserve">that will outline their mutual expectations regarding scheduled work hours, work duties, frequency of supervisory meetings, and learning goals.  The course instructor will also check in regularly with placement supervisors over the course of the semester to ensure that the </w:t>
      </w:r>
      <w:r w:rsidR="00E75AAA">
        <w:rPr>
          <w:rFonts w:ascii="Times" w:hAnsi="Times" w:cs="Times"/>
          <w:sz w:val="20"/>
          <w:szCs w:val="20"/>
        </w:rPr>
        <w:t xml:space="preserve">LWA </w:t>
      </w:r>
      <w:r w:rsidRPr="007A06CA">
        <w:rPr>
          <w:rFonts w:ascii="Times" w:hAnsi="Times" w:cs="Times"/>
          <w:sz w:val="20"/>
          <w:szCs w:val="20"/>
        </w:rPr>
        <w:t>is being followed.</w:t>
      </w:r>
    </w:p>
    <w:p w14:paraId="54FFCFA5" w14:textId="77777777" w:rsidR="007A06CA" w:rsidRPr="007A06CA" w:rsidRDefault="007A06CA" w:rsidP="007A06CA">
      <w:pPr>
        <w:pStyle w:val="NormalWeb"/>
        <w:spacing w:before="0" w:beforeAutospacing="0" w:after="0" w:afterAutospacing="0"/>
        <w:ind w:left="720"/>
        <w:rPr>
          <w:rFonts w:ascii="Times" w:hAnsi="Times" w:cs="Times"/>
          <w:b/>
          <w:i/>
          <w:sz w:val="20"/>
          <w:szCs w:val="20"/>
        </w:rPr>
      </w:pPr>
    </w:p>
    <w:p w14:paraId="7D41B1B2" w14:textId="77777777" w:rsidR="0061104D" w:rsidRPr="007A06CA" w:rsidRDefault="0061104D" w:rsidP="0061104D">
      <w:pPr>
        <w:pStyle w:val="NormalWeb"/>
        <w:numPr>
          <w:ilvl w:val="0"/>
          <w:numId w:val="5"/>
        </w:numPr>
        <w:spacing w:before="0" w:beforeAutospacing="0" w:after="0" w:afterAutospacing="0"/>
        <w:rPr>
          <w:rFonts w:ascii="Times" w:hAnsi="Times" w:cs="Times"/>
          <w:b/>
          <w:i/>
          <w:sz w:val="20"/>
          <w:szCs w:val="20"/>
        </w:rPr>
      </w:pPr>
      <w:r w:rsidRPr="007A06CA">
        <w:rPr>
          <w:rFonts w:ascii="Times" w:hAnsi="Times" w:cs="Times"/>
          <w:b/>
          <w:i/>
          <w:sz w:val="20"/>
          <w:szCs w:val="20"/>
        </w:rPr>
        <w:t xml:space="preserve">The Course Includes Structured Reflection </w:t>
      </w:r>
    </w:p>
    <w:p w14:paraId="25AD1211" w14:textId="77777777" w:rsidR="007A06CA" w:rsidRPr="007A06CA" w:rsidRDefault="0061104D" w:rsidP="0061104D">
      <w:pPr>
        <w:pStyle w:val="ListParagraph"/>
        <w:numPr>
          <w:ilvl w:val="0"/>
          <w:numId w:val="19"/>
        </w:numPr>
        <w:rPr>
          <w:rFonts w:cs="Times"/>
          <w:sz w:val="20"/>
        </w:rPr>
      </w:pPr>
      <w:r w:rsidRPr="007A06CA">
        <w:rPr>
          <w:rFonts w:cs="Times"/>
          <w:sz w:val="20"/>
        </w:rPr>
        <w:t>Adapted from Philosophy 256: Students will write 4 short (2-3 page) philosophical reflection papers based on given prompts over the course of the semester. Papers will reflect specificity in analysis (breaking down broad ideas into more specific ones) and make connections between ideas not previously connected. Both analysis of ideas and novel synthesis between concepts are important parts of this form of writing. Papers should connect abstract ideas from the texts to placement experiences.</w:t>
      </w:r>
    </w:p>
    <w:p w14:paraId="740DA502" w14:textId="076C753C" w:rsidR="0061104D" w:rsidRPr="007A06CA" w:rsidRDefault="007A06CA" w:rsidP="0061104D">
      <w:pPr>
        <w:pStyle w:val="ListParagraph"/>
        <w:numPr>
          <w:ilvl w:val="0"/>
          <w:numId w:val="19"/>
        </w:numPr>
        <w:rPr>
          <w:rFonts w:cs="Times"/>
          <w:sz w:val="20"/>
        </w:rPr>
      </w:pPr>
      <w:r w:rsidRPr="007A06CA">
        <w:rPr>
          <w:rFonts w:cs="Times"/>
          <w:sz w:val="20"/>
        </w:rPr>
        <w:t>Another</w:t>
      </w:r>
      <w:r w:rsidR="0061104D" w:rsidRPr="007A06CA">
        <w:rPr>
          <w:rFonts w:cs="Times"/>
          <w:sz w:val="20"/>
        </w:rPr>
        <w:t xml:space="preserve"> possible response: Throughout the course students will be asked to complete reflection responses to assess their learning of the intended learning outcomes in light of course texts and service project experiences. Responses will be graded, and must reflect consideration of placement experiences in light of concepts presented in the texts, and vice versa. We will discuss these responses in class regularly.</w:t>
      </w:r>
    </w:p>
    <w:p w14:paraId="4A802C3F" w14:textId="77777777" w:rsidR="0061104D" w:rsidRPr="007A06CA" w:rsidRDefault="0061104D" w:rsidP="0061104D">
      <w:pPr>
        <w:rPr>
          <w:rFonts w:cs="Times"/>
          <w:sz w:val="20"/>
        </w:rPr>
      </w:pPr>
    </w:p>
    <w:p w14:paraId="322E43BB" w14:textId="77777777" w:rsidR="0061104D" w:rsidRPr="007A06CA" w:rsidRDefault="0061104D" w:rsidP="0061104D">
      <w:pPr>
        <w:pStyle w:val="NormalWeb"/>
        <w:spacing w:before="0" w:beforeAutospacing="0" w:after="0" w:afterAutospacing="0"/>
        <w:rPr>
          <w:rFonts w:ascii="Times" w:hAnsi="Times" w:cs="Times"/>
          <w:b/>
          <w:i/>
          <w:sz w:val="20"/>
          <w:szCs w:val="20"/>
        </w:rPr>
      </w:pPr>
      <w:r w:rsidRPr="007A06CA">
        <w:rPr>
          <w:rFonts w:ascii="Times" w:hAnsi="Times" w:cs="Times"/>
          <w:b/>
          <w:i/>
          <w:sz w:val="20"/>
          <w:szCs w:val="20"/>
        </w:rPr>
        <w:t>Plan for Maintenance of Standards</w:t>
      </w:r>
    </w:p>
    <w:p w14:paraId="33E9246B" w14:textId="3718924F" w:rsidR="0061104D" w:rsidRPr="007A06CA" w:rsidRDefault="00DE0179" w:rsidP="007A06CA">
      <w:pPr>
        <w:pStyle w:val="ListParagraph"/>
        <w:numPr>
          <w:ilvl w:val="0"/>
          <w:numId w:val="20"/>
        </w:numPr>
        <w:rPr>
          <w:rFonts w:cs="Times"/>
          <w:sz w:val="20"/>
        </w:rPr>
      </w:pPr>
      <w:r w:rsidRPr="007A06CA">
        <w:rPr>
          <w:rFonts w:cs="Times"/>
          <w:sz w:val="20"/>
        </w:rPr>
        <w:t xml:space="preserve">Adapted from Architecture 370/371 &amp; 496: </w:t>
      </w:r>
      <w:r w:rsidR="0061104D" w:rsidRPr="007A06CA">
        <w:rPr>
          <w:rFonts w:cs="Times"/>
          <w:sz w:val="20"/>
        </w:rPr>
        <w:t xml:space="preserve">The College of Architecture proposes to have faculty seeking to teach a course with an “S” designation to submit a </w:t>
      </w:r>
      <w:r w:rsidR="00E75AAA" w:rsidRPr="007A06CA">
        <w:rPr>
          <w:rFonts w:cs="Times"/>
          <w:sz w:val="20"/>
        </w:rPr>
        <w:t>one-page</w:t>
      </w:r>
      <w:r w:rsidR="0061104D" w:rsidRPr="007A06CA">
        <w:rPr>
          <w:rFonts w:cs="Times"/>
          <w:sz w:val="20"/>
        </w:rPr>
        <w:t xml:space="preserve"> proposal to the curriculum committee outlining how the course will meet the above standards.</w:t>
      </w:r>
      <w:r w:rsidRPr="007A06CA">
        <w:rPr>
          <w:rFonts w:cs="Times"/>
          <w:sz w:val="20"/>
        </w:rPr>
        <w:t xml:space="preserve"> The college curriculum committee will review proposals to ensure alignment with the designation standards.</w:t>
      </w:r>
    </w:p>
    <w:p w14:paraId="1226DB4A" w14:textId="77777777" w:rsidR="0061104D" w:rsidRPr="007A06CA" w:rsidRDefault="0061104D" w:rsidP="00AB5915">
      <w:pPr>
        <w:rPr>
          <w:rFonts w:cs="Times"/>
          <w:sz w:val="20"/>
        </w:rPr>
      </w:pPr>
    </w:p>
    <w:sectPr w:rsidR="0061104D" w:rsidRPr="007A06CA" w:rsidSect="00AA61F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9E985" w14:textId="77777777" w:rsidR="00D2322B" w:rsidRDefault="00D2322B" w:rsidP="00091794">
      <w:r>
        <w:separator/>
      </w:r>
    </w:p>
  </w:endnote>
  <w:endnote w:type="continuationSeparator" w:id="0">
    <w:p w14:paraId="7EF4A120" w14:textId="77777777" w:rsidR="00D2322B" w:rsidRDefault="00D2322B" w:rsidP="0009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042127"/>
      <w:docPartObj>
        <w:docPartGallery w:val="Page Numbers (Bottom of Page)"/>
        <w:docPartUnique/>
      </w:docPartObj>
    </w:sdtPr>
    <w:sdtContent>
      <w:sdt>
        <w:sdtPr>
          <w:id w:val="-1769616900"/>
          <w:docPartObj>
            <w:docPartGallery w:val="Page Numbers (Top of Page)"/>
            <w:docPartUnique/>
          </w:docPartObj>
        </w:sdtPr>
        <w:sdtContent>
          <w:p w14:paraId="7010A429" w14:textId="77777777" w:rsidR="0095274D" w:rsidRPr="0095274D" w:rsidRDefault="0095274D" w:rsidP="0095274D">
            <w:pPr>
              <w:pStyle w:val="Footer"/>
              <w:jc w:val="right"/>
              <w:rPr>
                <w:b/>
                <w:bCs/>
                <w:sz w:val="18"/>
              </w:rPr>
            </w:pPr>
            <w:r w:rsidRPr="0095274D">
              <w:rPr>
                <w:sz w:val="18"/>
              </w:rPr>
              <w:t xml:space="preserve">Page </w:t>
            </w:r>
            <w:r w:rsidRPr="0095274D">
              <w:rPr>
                <w:b/>
                <w:bCs/>
                <w:sz w:val="18"/>
              </w:rPr>
              <w:fldChar w:fldCharType="begin"/>
            </w:r>
            <w:r w:rsidRPr="0095274D">
              <w:rPr>
                <w:b/>
                <w:bCs/>
                <w:sz w:val="18"/>
              </w:rPr>
              <w:instrText xml:space="preserve"> PAGE </w:instrText>
            </w:r>
            <w:r w:rsidRPr="0095274D">
              <w:rPr>
                <w:b/>
                <w:bCs/>
                <w:sz w:val="18"/>
              </w:rPr>
              <w:fldChar w:fldCharType="separate"/>
            </w:r>
            <w:r w:rsidRPr="0095274D">
              <w:rPr>
                <w:b/>
                <w:bCs/>
                <w:noProof/>
                <w:sz w:val="18"/>
              </w:rPr>
              <w:t>2</w:t>
            </w:r>
            <w:r w:rsidRPr="0095274D">
              <w:rPr>
                <w:b/>
                <w:bCs/>
                <w:sz w:val="18"/>
              </w:rPr>
              <w:fldChar w:fldCharType="end"/>
            </w:r>
            <w:r w:rsidRPr="0095274D">
              <w:rPr>
                <w:sz w:val="18"/>
              </w:rPr>
              <w:t xml:space="preserve"> of </w:t>
            </w:r>
            <w:r w:rsidRPr="0095274D">
              <w:rPr>
                <w:b/>
                <w:bCs/>
                <w:sz w:val="18"/>
              </w:rPr>
              <w:fldChar w:fldCharType="begin"/>
            </w:r>
            <w:r w:rsidRPr="0095274D">
              <w:rPr>
                <w:b/>
                <w:bCs/>
                <w:sz w:val="18"/>
              </w:rPr>
              <w:instrText xml:space="preserve"> NUMPAGES  </w:instrText>
            </w:r>
            <w:r w:rsidRPr="0095274D">
              <w:rPr>
                <w:b/>
                <w:bCs/>
                <w:sz w:val="18"/>
              </w:rPr>
              <w:fldChar w:fldCharType="separate"/>
            </w:r>
            <w:r w:rsidRPr="0095274D">
              <w:rPr>
                <w:b/>
                <w:bCs/>
                <w:noProof/>
                <w:sz w:val="18"/>
              </w:rPr>
              <w:t>2</w:t>
            </w:r>
            <w:r w:rsidRPr="0095274D">
              <w:rPr>
                <w:b/>
                <w:bCs/>
                <w:sz w:val="18"/>
              </w:rPr>
              <w:fldChar w:fldCharType="end"/>
            </w:r>
          </w:p>
          <w:p w14:paraId="55AC9800" w14:textId="612019CD" w:rsidR="0095274D" w:rsidRDefault="0095274D" w:rsidP="0095274D">
            <w:pPr>
              <w:pStyle w:val="Footer"/>
              <w:jc w:val="right"/>
            </w:pPr>
            <w:r w:rsidRPr="0095274D">
              <w:rPr>
                <w:i/>
                <w:sz w:val="18"/>
              </w:rPr>
              <w:t>08/2019</w:t>
            </w:r>
          </w:p>
        </w:sdtContent>
      </w:sdt>
    </w:sdtContent>
  </w:sdt>
  <w:p w14:paraId="2083AA3D" w14:textId="67C041E3" w:rsidR="00953E96" w:rsidRDefault="00D2322B">
    <w:pPr>
      <w:pStyle w:val="Footer"/>
      <w:rPr>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51432" w14:textId="77777777" w:rsidR="00D2322B" w:rsidRDefault="00D2322B" w:rsidP="00091794">
      <w:r>
        <w:separator/>
      </w:r>
    </w:p>
  </w:footnote>
  <w:footnote w:type="continuationSeparator" w:id="0">
    <w:p w14:paraId="0D485223" w14:textId="77777777" w:rsidR="00D2322B" w:rsidRDefault="00D2322B" w:rsidP="00091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F16"/>
    <w:multiLevelType w:val="hybridMultilevel"/>
    <w:tmpl w:val="2B6A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A084D"/>
    <w:multiLevelType w:val="hybridMultilevel"/>
    <w:tmpl w:val="E692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2185C"/>
    <w:multiLevelType w:val="hybridMultilevel"/>
    <w:tmpl w:val="0E20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751BD"/>
    <w:multiLevelType w:val="hybridMultilevel"/>
    <w:tmpl w:val="3EA6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046BA"/>
    <w:multiLevelType w:val="hybridMultilevel"/>
    <w:tmpl w:val="50BEDDBC"/>
    <w:lvl w:ilvl="0" w:tplc="8208F4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133CF"/>
    <w:multiLevelType w:val="hybridMultilevel"/>
    <w:tmpl w:val="A96289E2"/>
    <w:lvl w:ilvl="0" w:tplc="90CA1C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B7D5B"/>
    <w:multiLevelType w:val="hybridMultilevel"/>
    <w:tmpl w:val="BE44DB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AC5B06"/>
    <w:multiLevelType w:val="hybridMultilevel"/>
    <w:tmpl w:val="09767220"/>
    <w:lvl w:ilvl="0" w:tplc="9E50D714">
      <w:start w:val="1"/>
      <w:numFmt w:val="decimal"/>
      <w:lvlText w:val="%1."/>
      <w:lvlJc w:val="left"/>
      <w:pPr>
        <w:ind w:left="360" w:hanging="360"/>
      </w:pPr>
      <w:rPr>
        <w:rFonts w:ascii="Cambria" w:hAnsi="Cambria"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606225"/>
    <w:multiLevelType w:val="hybridMultilevel"/>
    <w:tmpl w:val="C4848C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2E182B"/>
    <w:multiLevelType w:val="hybridMultilevel"/>
    <w:tmpl w:val="CC1AA54C"/>
    <w:lvl w:ilvl="0" w:tplc="051A35EE">
      <w:start w:val="4"/>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BD6C47"/>
    <w:multiLevelType w:val="hybridMultilevel"/>
    <w:tmpl w:val="348C47BA"/>
    <w:lvl w:ilvl="0" w:tplc="051A35E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F72EF"/>
    <w:multiLevelType w:val="hybridMultilevel"/>
    <w:tmpl w:val="FC28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549D8"/>
    <w:multiLevelType w:val="hybridMultilevel"/>
    <w:tmpl w:val="6F6276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0D5C43"/>
    <w:multiLevelType w:val="hybridMultilevel"/>
    <w:tmpl w:val="E0E68E24"/>
    <w:lvl w:ilvl="0" w:tplc="F99EBB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61E15"/>
    <w:multiLevelType w:val="hybridMultilevel"/>
    <w:tmpl w:val="6F245B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C4FB2"/>
    <w:multiLevelType w:val="hybridMultilevel"/>
    <w:tmpl w:val="3D1E3ACE"/>
    <w:lvl w:ilvl="0" w:tplc="6D4A40A6">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321B06"/>
    <w:multiLevelType w:val="hybridMultilevel"/>
    <w:tmpl w:val="EC7C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95DF7"/>
    <w:multiLevelType w:val="hybridMultilevel"/>
    <w:tmpl w:val="1FB2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0A163E"/>
    <w:multiLevelType w:val="hybridMultilevel"/>
    <w:tmpl w:val="A4A28D14"/>
    <w:lvl w:ilvl="0" w:tplc="A8B22E2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C163E"/>
    <w:multiLevelType w:val="hybridMultilevel"/>
    <w:tmpl w:val="DE64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4"/>
  </w:num>
  <w:num w:numId="4">
    <w:abstractNumId w:val="0"/>
  </w:num>
  <w:num w:numId="5">
    <w:abstractNumId w:val="7"/>
  </w:num>
  <w:num w:numId="6">
    <w:abstractNumId w:val="15"/>
  </w:num>
  <w:num w:numId="7">
    <w:abstractNumId w:val="2"/>
  </w:num>
  <w:num w:numId="8">
    <w:abstractNumId w:val="13"/>
  </w:num>
  <w:num w:numId="9">
    <w:abstractNumId w:val="16"/>
  </w:num>
  <w:num w:numId="10">
    <w:abstractNumId w:val="18"/>
  </w:num>
  <w:num w:numId="11">
    <w:abstractNumId w:val="5"/>
  </w:num>
  <w:num w:numId="12">
    <w:abstractNumId w:val="4"/>
  </w:num>
  <w:num w:numId="13">
    <w:abstractNumId w:val="10"/>
  </w:num>
  <w:num w:numId="14">
    <w:abstractNumId w:val="9"/>
  </w:num>
  <w:num w:numId="15">
    <w:abstractNumId w:val="12"/>
  </w:num>
  <w:num w:numId="16">
    <w:abstractNumId w:val="1"/>
  </w:num>
  <w:num w:numId="17">
    <w:abstractNumId w:val="3"/>
  </w:num>
  <w:num w:numId="18">
    <w:abstractNumId w:val="11"/>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s-EC"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s-EC"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794"/>
    <w:rsid w:val="00002AA2"/>
    <w:rsid w:val="00031F68"/>
    <w:rsid w:val="00034784"/>
    <w:rsid w:val="00055E0F"/>
    <w:rsid w:val="00091794"/>
    <w:rsid w:val="000B06F8"/>
    <w:rsid w:val="000E3D97"/>
    <w:rsid w:val="000F1FFB"/>
    <w:rsid w:val="0013200C"/>
    <w:rsid w:val="0014209C"/>
    <w:rsid w:val="00170596"/>
    <w:rsid w:val="001A2BBF"/>
    <w:rsid w:val="001A4EC6"/>
    <w:rsid w:val="001C5AD8"/>
    <w:rsid w:val="00243244"/>
    <w:rsid w:val="00283C2B"/>
    <w:rsid w:val="002A6206"/>
    <w:rsid w:val="002B39C9"/>
    <w:rsid w:val="002D13CD"/>
    <w:rsid w:val="00326572"/>
    <w:rsid w:val="00354CD5"/>
    <w:rsid w:val="003910C5"/>
    <w:rsid w:val="00424FBE"/>
    <w:rsid w:val="004315A6"/>
    <w:rsid w:val="00434AE6"/>
    <w:rsid w:val="004365EA"/>
    <w:rsid w:val="004557AA"/>
    <w:rsid w:val="0047120E"/>
    <w:rsid w:val="00497956"/>
    <w:rsid w:val="004C2F77"/>
    <w:rsid w:val="00513720"/>
    <w:rsid w:val="00530E8C"/>
    <w:rsid w:val="00570E6E"/>
    <w:rsid w:val="0057282B"/>
    <w:rsid w:val="005A109B"/>
    <w:rsid w:val="005C3D89"/>
    <w:rsid w:val="005D3F76"/>
    <w:rsid w:val="0061104D"/>
    <w:rsid w:val="00611E9A"/>
    <w:rsid w:val="00677120"/>
    <w:rsid w:val="00684E5F"/>
    <w:rsid w:val="006B34C7"/>
    <w:rsid w:val="006C1744"/>
    <w:rsid w:val="006F012D"/>
    <w:rsid w:val="0070704C"/>
    <w:rsid w:val="00715D84"/>
    <w:rsid w:val="00774D86"/>
    <w:rsid w:val="007A06CA"/>
    <w:rsid w:val="00833D71"/>
    <w:rsid w:val="00842B47"/>
    <w:rsid w:val="00873E7F"/>
    <w:rsid w:val="00882AC4"/>
    <w:rsid w:val="00903E07"/>
    <w:rsid w:val="00934357"/>
    <w:rsid w:val="0095274D"/>
    <w:rsid w:val="00967ECB"/>
    <w:rsid w:val="009C64DD"/>
    <w:rsid w:val="00A13246"/>
    <w:rsid w:val="00A64C06"/>
    <w:rsid w:val="00A67AC1"/>
    <w:rsid w:val="00A91E7C"/>
    <w:rsid w:val="00AB0B67"/>
    <w:rsid w:val="00AB5915"/>
    <w:rsid w:val="00B54AE7"/>
    <w:rsid w:val="00B619BB"/>
    <w:rsid w:val="00B6218E"/>
    <w:rsid w:val="00B65B45"/>
    <w:rsid w:val="00BC39DB"/>
    <w:rsid w:val="00BD141A"/>
    <w:rsid w:val="00BD47AB"/>
    <w:rsid w:val="00BE24B3"/>
    <w:rsid w:val="00C07AD0"/>
    <w:rsid w:val="00C40D46"/>
    <w:rsid w:val="00C51194"/>
    <w:rsid w:val="00C73FD4"/>
    <w:rsid w:val="00CB2BD1"/>
    <w:rsid w:val="00CD19C2"/>
    <w:rsid w:val="00D11744"/>
    <w:rsid w:val="00D2322B"/>
    <w:rsid w:val="00D3304F"/>
    <w:rsid w:val="00D541BF"/>
    <w:rsid w:val="00DE0179"/>
    <w:rsid w:val="00E21780"/>
    <w:rsid w:val="00E248BE"/>
    <w:rsid w:val="00E35B93"/>
    <w:rsid w:val="00E75AAA"/>
    <w:rsid w:val="00F30D6D"/>
    <w:rsid w:val="00F51CF8"/>
    <w:rsid w:val="00FD3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40A50"/>
  <w15:chartTrackingRefBased/>
  <w15:docId w15:val="{0CA8881A-BF4A-40CA-BE3C-A2B363A6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1794"/>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091794"/>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794"/>
    <w:rPr>
      <w:rFonts w:ascii="Times" w:eastAsia="Times" w:hAnsi="Times" w:cs="Times New Roman"/>
      <w:b/>
      <w:szCs w:val="20"/>
    </w:rPr>
  </w:style>
  <w:style w:type="paragraph" w:styleId="Footer">
    <w:name w:val="footer"/>
    <w:basedOn w:val="Normal"/>
    <w:link w:val="FooterChar"/>
    <w:uiPriority w:val="99"/>
    <w:rsid w:val="00091794"/>
    <w:pPr>
      <w:tabs>
        <w:tab w:val="center" w:pos="4320"/>
        <w:tab w:val="right" w:pos="8640"/>
      </w:tabs>
    </w:pPr>
  </w:style>
  <w:style w:type="character" w:customStyle="1" w:styleId="FooterChar">
    <w:name w:val="Footer Char"/>
    <w:basedOn w:val="DefaultParagraphFont"/>
    <w:link w:val="Footer"/>
    <w:uiPriority w:val="99"/>
    <w:rsid w:val="00091794"/>
    <w:rPr>
      <w:rFonts w:ascii="Times" w:eastAsia="Times" w:hAnsi="Times" w:cs="Times New Roman"/>
      <w:sz w:val="24"/>
      <w:szCs w:val="20"/>
    </w:rPr>
  </w:style>
  <w:style w:type="character" w:styleId="Hyperlink">
    <w:name w:val="Hyperlink"/>
    <w:rsid w:val="00091794"/>
    <w:rPr>
      <w:color w:val="0000FF"/>
      <w:u w:val="single"/>
    </w:rPr>
  </w:style>
  <w:style w:type="character" w:customStyle="1" w:styleId="im">
    <w:name w:val="im"/>
    <w:rsid w:val="00091794"/>
  </w:style>
  <w:style w:type="paragraph" w:styleId="FootnoteText">
    <w:name w:val="footnote text"/>
    <w:basedOn w:val="Normal"/>
    <w:link w:val="FootnoteTextChar"/>
    <w:uiPriority w:val="99"/>
    <w:semiHidden/>
    <w:unhideWhenUsed/>
    <w:rsid w:val="00091794"/>
    <w:rPr>
      <w:sz w:val="20"/>
    </w:rPr>
  </w:style>
  <w:style w:type="character" w:customStyle="1" w:styleId="FootnoteTextChar">
    <w:name w:val="Footnote Text Char"/>
    <w:basedOn w:val="DefaultParagraphFont"/>
    <w:link w:val="FootnoteText"/>
    <w:uiPriority w:val="99"/>
    <w:semiHidden/>
    <w:rsid w:val="00091794"/>
    <w:rPr>
      <w:rFonts w:ascii="Times" w:eastAsia="Times" w:hAnsi="Times" w:cs="Times New Roman"/>
      <w:sz w:val="20"/>
      <w:szCs w:val="20"/>
    </w:rPr>
  </w:style>
  <w:style w:type="character" w:styleId="FootnoteReference">
    <w:name w:val="footnote reference"/>
    <w:basedOn w:val="DefaultParagraphFont"/>
    <w:uiPriority w:val="99"/>
    <w:semiHidden/>
    <w:unhideWhenUsed/>
    <w:rsid w:val="00091794"/>
    <w:rPr>
      <w:vertAlign w:val="superscript"/>
    </w:rPr>
  </w:style>
  <w:style w:type="character" w:styleId="FollowedHyperlink">
    <w:name w:val="FollowedHyperlink"/>
    <w:basedOn w:val="DefaultParagraphFont"/>
    <w:uiPriority w:val="99"/>
    <w:semiHidden/>
    <w:unhideWhenUsed/>
    <w:rsid w:val="00091794"/>
    <w:rPr>
      <w:color w:val="954F72" w:themeColor="followedHyperlink"/>
      <w:u w:val="single"/>
    </w:rPr>
  </w:style>
  <w:style w:type="paragraph" w:styleId="NormalWeb">
    <w:name w:val="Normal (Web)"/>
    <w:basedOn w:val="Normal"/>
    <w:uiPriority w:val="99"/>
    <w:unhideWhenUsed/>
    <w:rsid w:val="003910C5"/>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3910C5"/>
    <w:pPr>
      <w:ind w:left="720"/>
      <w:contextualSpacing/>
    </w:pPr>
  </w:style>
  <w:style w:type="paragraph" w:styleId="Header">
    <w:name w:val="header"/>
    <w:basedOn w:val="Normal"/>
    <w:link w:val="HeaderChar"/>
    <w:uiPriority w:val="99"/>
    <w:unhideWhenUsed/>
    <w:rsid w:val="00E35B93"/>
    <w:pPr>
      <w:tabs>
        <w:tab w:val="center" w:pos="4680"/>
        <w:tab w:val="right" w:pos="9360"/>
      </w:tabs>
    </w:pPr>
  </w:style>
  <w:style w:type="character" w:customStyle="1" w:styleId="HeaderChar">
    <w:name w:val="Header Char"/>
    <w:basedOn w:val="DefaultParagraphFont"/>
    <w:link w:val="Header"/>
    <w:uiPriority w:val="99"/>
    <w:rsid w:val="00E35B93"/>
    <w:rPr>
      <w:rFonts w:ascii="Times" w:eastAsia="Times" w:hAnsi="Times" w:cs="Times New Roman"/>
      <w:sz w:val="24"/>
      <w:szCs w:val="20"/>
    </w:rPr>
  </w:style>
  <w:style w:type="table" w:styleId="TableGrid">
    <w:name w:val="Table Grid"/>
    <w:basedOn w:val="TableNormal"/>
    <w:uiPriority w:val="39"/>
    <w:rsid w:val="0061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1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A0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ulli27@utk.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eaching.utk.edu/s-designatio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B8E9D-BC8F-4F27-A6ED-671D456C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Ellenburg, Kelly (Kelly)</dc:creator>
  <cp:keywords/>
  <dc:description/>
  <cp:lastModifiedBy>Lavan, Christopher (Chris)</cp:lastModifiedBy>
  <cp:revision>4</cp:revision>
  <cp:lastPrinted>2018-06-18T15:04:00Z</cp:lastPrinted>
  <dcterms:created xsi:type="dcterms:W3CDTF">2019-08-30T15:39:00Z</dcterms:created>
  <dcterms:modified xsi:type="dcterms:W3CDTF">2019-08-30T15:51:00Z</dcterms:modified>
</cp:coreProperties>
</file>